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pStyle w:val="4"/>
        <w:adjustRightInd w:val="0"/>
        <w:snapToGrid w:val="0"/>
        <w:spacing w:before="0" w:beforeAutospacing="0" w:after="0" w:afterAutospacing="0" w:line="360" w:lineRule="auto"/>
        <w:jc w:val="center"/>
        <w:outlineLvl w:val="0"/>
        <w:rPr>
          <w:rFonts w:ascii="黑体" w:hAnsi="黑体" w:eastAsia="黑体"/>
          <w:bCs/>
          <w:sz w:val="36"/>
          <w:szCs w:val="36"/>
        </w:rPr>
      </w:pPr>
      <w:r>
        <w:rPr>
          <w:rFonts w:hint="eastAsia" w:ascii="华文中宋" w:hAnsi="华文中宋" w:eastAsia="华文中宋" w:cs="华文中宋"/>
          <w:b/>
          <w:sz w:val="44"/>
          <w:szCs w:val="44"/>
          <w:lang w:eastAsia="zh-CN"/>
        </w:rPr>
        <w:t>马鞍山师范高等专科学校2022</w:t>
      </w:r>
      <w:r>
        <w:rPr>
          <w:rFonts w:hint="eastAsia" w:ascii="华文中宋" w:hAnsi="华文中宋" w:eastAsia="华文中宋" w:cs="华文中宋"/>
          <w:b/>
          <w:sz w:val="44"/>
          <w:szCs w:val="44"/>
        </w:rPr>
        <w:t>年</w:t>
      </w:r>
      <w:r>
        <w:rPr>
          <w:rFonts w:hint="eastAsia" w:ascii="华文中宋" w:hAnsi="华文中宋" w:eastAsia="华文中宋" w:cs="华文中宋"/>
          <w:b/>
          <w:sz w:val="44"/>
          <w:szCs w:val="44"/>
          <w:u w:val="none"/>
        </w:rPr>
        <w:t>单位</w:t>
      </w:r>
      <w:r>
        <w:rPr>
          <w:rFonts w:hint="eastAsia" w:ascii="华文中宋" w:hAnsi="华文中宋" w:eastAsia="华文中宋" w:cs="华文中宋"/>
          <w:b/>
          <w:sz w:val="44"/>
          <w:szCs w:val="44"/>
        </w:rPr>
        <w:t>预算</w:t>
      </w: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lang w:eastAsia="zh-CN"/>
        </w:rPr>
        <w:t>2022</w:t>
      </w:r>
      <w:r>
        <w:rPr>
          <w:rFonts w:hint="eastAsia" w:ascii="黑体" w:hAnsi="黑体" w:eastAsia="黑体"/>
          <w:bCs/>
          <w:sz w:val="44"/>
          <w:szCs w:val="44"/>
        </w:rPr>
        <w:t>年</w:t>
      </w:r>
      <w:r>
        <w:rPr>
          <w:rFonts w:hint="eastAsia" w:ascii="黑体" w:hAnsi="黑体" w:eastAsia="黑体"/>
          <w:bCs/>
          <w:sz w:val="44"/>
          <w:szCs w:val="44"/>
          <w:lang w:val="en-US" w:eastAsia="zh-CN"/>
        </w:rPr>
        <w:t>2</w:t>
      </w:r>
      <w:r>
        <w:rPr>
          <w:rFonts w:hint="eastAsia" w:ascii="黑体" w:hAnsi="黑体" w:eastAsia="黑体"/>
          <w:bCs/>
          <w:sz w:val="44"/>
          <w:szCs w:val="44"/>
        </w:rPr>
        <w:t>月</w:t>
      </w:r>
    </w:p>
    <w:p>
      <w:pPr>
        <w:pStyle w:val="4"/>
        <w:adjustRightInd w:val="0"/>
        <w:snapToGrid w:val="0"/>
        <w:spacing w:before="0" w:beforeAutospacing="0" w:after="0" w:afterAutospacing="0" w:line="360" w:lineRule="auto"/>
        <w:jc w:val="both"/>
        <w:rPr>
          <w:rFonts w:ascii="黑体" w:hAnsi="黑体" w:eastAsia="黑体"/>
          <w:bCs/>
          <w:sz w:val="36"/>
          <w:szCs w:val="36"/>
        </w:rPr>
      </w:pPr>
    </w:p>
    <w:p>
      <w:pPr>
        <w:pStyle w:val="4"/>
        <w:adjustRightInd w:val="0"/>
        <w:snapToGrid w:val="0"/>
        <w:spacing w:before="0" w:beforeAutospacing="0" w:after="0" w:afterAutospacing="0" w:line="500" w:lineRule="exact"/>
        <w:jc w:val="center"/>
        <w:rPr>
          <w:rFonts w:hint="eastAsia" w:ascii="黑体" w:hAnsi="黑体" w:eastAsia="黑体"/>
          <w:bCs/>
          <w:sz w:val="44"/>
          <w:szCs w:val="44"/>
        </w:rPr>
      </w:pPr>
    </w:p>
    <w:p>
      <w:pPr>
        <w:pStyle w:val="4"/>
        <w:adjustRightInd w:val="0"/>
        <w:snapToGrid w:val="0"/>
        <w:spacing w:before="0" w:beforeAutospacing="0" w:after="0" w:afterAutospacing="0" w:line="500" w:lineRule="exact"/>
        <w:jc w:val="center"/>
        <w:rPr>
          <w:rFonts w:hint="eastAsia" w:ascii="黑体" w:hAnsi="黑体" w:eastAsia="黑体"/>
          <w:bCs/>
          <w:sz w:val="44"/>
          <w:szCs w:val="44"/>
        </w:rPr>
      </w:pPr>
    </w:p>
    <w:p>
      <w:pPr>
        <w:pStyle w:val="4"/>
        <w:adjustRightInd w:val="0"/>
        <w:snapToGrid w:val="0"/>
        <w:spacing w:before="0" w:beforeAutospacing="0" w:after="0" w:afterAutospacing="0" w:line="500" w:lineRule="exact"/>
        <w:jc w:val="center"/>
        <w:rPr>
          <w:rFonts w:hint="eastAsia" w:ascii="黑体" w:hAnsi="黑体" w:eastAsia="黑体"/>
          <w:bCs/>
          <w:sz w:val="44"/>
          <w:szCs w:val="44"/>
        </w:rPr>
      </w:pPr>
    </w:p>
    <w:p>
      <w:pPr>
        <w:pStyle w:val="4"/>
        <w:adjustRightInd w:val="0"/>
        <w:snapToGrid w:val="0"/>
        <w:spacing w:before="0" w:beforeAutospacing="0" w:after="0" w:afterAutospacing="0" w:line="500" w:lineRule="exact"/>
        <w:jc w:val="center"/>
        <w:rPr>
          <w:rFonts w:hint="eastAsia" w:ascii="黑体" w:hAnsi="黑体" w:eastAsia="黑体"/>
          <w:bCs/>
          <w:sz w:val="44"/>
          <w:szCs w:val="44"/>
        </w:rPr>
      </w:pPr>
    </w:p>
    <w:p>
      <w:pPr>
        <w:pStyle w:val="4"/>
        <w:adjustRightInd w:val="0"/>
        <w:snapToGrid w:val="0"/>
        <w:spacing w:before="0" w:beforeAutospacing="0" w:after="0" w:afterAutospacing="0" w:line="500" w:lineRule="exact"/>
        <w:jc w:val="center"/>
        <w:rPr>
          <w:rFonts w:hint="eastAsia" w:ascii="黑体" w:hAnsi="黑体" w:eastAsia="黑体"/>
          <w:bCs/>
          <w:sz w:val="44"/>
          <w:szCs w:val="44"/>
        </w:rPr>
      </w:pPr>
    </w:p>
    <w:p>
      <w:pPr>
        <w:pStyle w:val="4"/>
        <w:adjustRightInd w:val="0"/>
        <w:snapToGrid w:val="0"/>
        <w:spacing w:before="0" w:beforeAutospacing="0" w:after="0" w:afterAutospacing="0" w:line="500" w:lineRule="exact"/>
        <w:jc w:val="center"/>
        <w:rPr>
          <w:rFonts w:hint="eastAsia" w:ascii="黑体" w:hAnsi="黑体" w:eastAsia="黑体"/>
          <w:bCs/>
          <w:sz w:val="44"/>
          <w:szCs w:val="44"/>
        </w:rPr>
      </w:pPr>
    </w:p>
    <w:p>
      <w:pPr>
        <w:pStyle w:val="4"/>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4"/>
        <w:adjustRightInd w:val="0"/>
        <w:snapToGrid w:val="0"/>
        <w:spacing w:before="0" w:beforeAutospacing="0" w:after="0" w:afterAutospacing="0" w:line="500" w:lineRule="exact"/>
        <w:ind w:firstLine="643" w:firstLineChars="200"/>
        <w:jc w:val="both"/>
        <w:rPr>
          <w:rFonts w:hint="eastAsia"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 xml:space="preserve">第一部分 </w:t>
      </w:r>
      <w:r>
        <w:rPr>
          <w:rFonts w:hint="eastAsia" w:ascii="仿宋_GB2312" w:hAnsi="仿宋" w:eastAsia="仿宋_GB2312" w:cs="仿宋"/>
          <w:b/>
          <w:sz w:val="32"/>
          <w:szCs w:val="32"/>
          <w:u w:val="none"/>
        </w:rPr>
        <w:t>单位</w:t>
      </w:r>
      <w:r>
        <w:rPr>
          <w:rFonts w:hint="eastAsia" w:ascii="仿宋_GB2312" w:hAnsi="仿宋" w:eastAsia="仿宋_GB2312" w:cs="仿宋"/>
          <w:b/>
          <w:sz w:val="32"/>
          <w:szCs w:val="32"/>
        </w:rPr>
        <w:t>概况</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u w:val="none"/>
        </w:rPr>
      </w:pPr>
      <w:r>
        <w:rPr>
          <w:rFonts w:hint="eastAsia" w:ascii="仿宋_GB2312" w:hAnsi="仿宋" w:eastAsia="仿宋_GB2312" w:cs="仿宋"/>
          <w:bCs/>
          <w:sz w:val="32"/>
          <w:szCs w:val="32"/>
        </w:rPr>
        <w:t>2.</w:t>
      </w:r>
      <w:r>
        <w:rPr>
          <w:rFonts w:hint="eastAsia" w:ascii="仿宋_GB2312" w:hAnsi="仿宋" w:eastAsia="仿宋_GB2312" w:cs="仿宋"/>
          <w:bCs/>
          <w:sz w:val="32"/>
          <w:szCs w:val="32"/>
          <w:u w:val="none"/>
        </w:rPr>
        <w:t>单位预算构成</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年度主要工作任务</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第二部分 </w:t>
      </w:r>
      <w:r>
        <w:rPr>
          <w:rFonts w:hint="eastAsia" w:ascii="仿宋_GB2312" w:hAnsi="仿宋" w:eastAsia="仿宋_GB2312" w:cs="仿宋"/>
          <w:b/>
          <w:sz w:val="32"/>
          <w:szCs w:val="32"/>
          <w:lang w:eastAsia="zh-CN"/>
        </w:rPr>
        <w:t>2022</w:t>
      </w:r>
      <w:r>
        <w:rPr>
          <w:rFonts w:hint="eastAsia" w:ascii="仿宋_GB2312" w:hAnsi="仿宋" w:eastAsia="仿宋_GB2312" w:cs="仿宋"/>
          <w:b/>
          <w:sz w:val="32"/>
          <w:szCs w:val="32"/>
        </w:rPr>
        <w:t>年</w:t>
      </w:r>
      <w:r>
        <w:rPr>
          <w:rFonts w:hint="eastAsia" w:ascii="仿宋_GB2312" w:hAnsi="仿宋" w:eastAsia="仿宋_GB2312" w:cs="仿宋"/>
          <w:b/>
          <w:sz w:val="32"/>
          <w:szCs w:val="32"/>
          <w:u w:val="none"/>
        </w:rPr>
        <w:t>单位</w:t>
      </w:r>
      <w:r>
        <w:rPr>
          <w:rFonts w:hint="eastAsia" w:ascii="仿宋_GB2312" w:hAnsi="仿宋" w:eastAsia="仿宋_GB2312" w:cs="仿宋"/>
          <w:b/>
          <w:sz w:val="32"/>
          <w:szCs w:val="32"/>
        </w:rPr>
        <w:t>预算表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bCs/>
          <w:sz w:val="32"/>
          <w:szCs w:val="32"/>
          <w:lang w:eastAsia="zh-CN"/>
        </w:rPr>
        <w:t>马鞍山师范高等专科学校2022</w:t>
      </w:r>
      <w:r>
        <w:rPr>
          <w:rFonts w:hint="eastAsia" w:ascii="仿宋_GB2312" w:hAnsi="仿宋" w:eastAsia="仿宋_GB2312" w:cs="仿宋"/>
          <w:bCs/>
          <w:sz w:val="32"/>
          <w:szCs w:val="32"/>
        </w:rPr>
        <w:t>年收支总表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eastAsia="zh-CN"/>
        </w:rPr>
        <w:t>马鞍山师范高等专科学校2022</w:t>
      </w:r>
      <w:r>
        <w:rPr>
          <w:rFonts w:hint="eastAsia" w:ascii="仿宋_GB2312" w:hAnsi="仿宋" w:eastAsia="仿宋_GB2312" w:cs="仿宋"/>
          <w:bCs/>
          <w:sz w:val="32"/>
          <w:szCs w:val="32"/>
        </w:rPr>
        <w:t>年收入总表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马鞍山师范高等专科学校2022</w:t>
      </w:r>
      <w:r>
        <w:rPr>
          <w:rFonts w:hint="eastAsia" w:ascii="仿宋_GB2312" w:hAnsi="仿宋" w:eastAsia="仿宋_GB2312" w:cs="仿宋"/>
          <w:bCs/>
          <w:sz w:val="32"/>
          <w:szCs w:val="32"/>
        </w:rPr>
        <w:t>年支出总表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w:t>
      </w:r>
      <w:r>
        <w:rPr>
          <w:rFonts w:hint="eastAsia" w:ascii="仿宋_GB2312" w:hAnsi="仿宋" w:eastAsia="仿宋_GB2312" w:cs="仿宋"/>
          <w:bCs/>
          <w:sz w:val="32"/>
          <w:szCs w:val="32"/>
          <w:lang w:eastAsia="zh-CN"/>
        </w:rPr>
        <w:t>马鞍山师范高等专科学校2022</w:t>
      </w:r>
      <w:r>
        <w:rPr>
          <w:rFonts w:hint="eastAsia" w:ascii="仿宋_GB2312" w:hAnsi="仿宋" w:eastAsia="仿宋_GB2312" w:cs="仿宋"/>
          <w:bCs/>
          <w:sz w:val="32"/>
          <w:szCs w:val="32"/>
        </w:rPr>
        <w:t>年财政拨款收支总表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w:t>
      </w:r>
      <w:r>
        <w:rPr>
          <w:rFonts w:hint="eastAsia" w:ascii="仿宋_GB2312" w:hAnsi="仿宋" w:eastAsia="仿宋_GB2312" w:cs="仿宋"/>
          <w:bCs/>
          <w:sz w:val="32"/>
          <w:szCs w:val="32"/>
          <w:lang w:eastAsia="zh-CN"/>
        </w:rPr>
        <w:t>马鞍山师范高等专科学校2022</w:t>
      </w:r>
      <w:r>
        <w:rPr>
          <w:rFonts w:hint="eastAsia" w:ascii="仿宋_GB2312" w:hAnsi="仿宋" w:eastAsia="仿宋_GB2312" w:cs="仿宋"/>
          <w:bCs/>
          <w:sz w:val="32"/>
          <w:szCs w:val="32"/>
        </w:rPr>
        <w:t>年一般公共预算支出表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w:t>
      </w:r>
      <w:r>
        <w:rPr>
          <w:rFonts w:hint="eastAsia" w:ascii="仿宋_GB2312" w:hAnsi="仿宋" w:eastAsia="仿宋_GB2312" w:cs="仿宋"/>
          <w:bCs/>
          <w:sz w:val="32"/>
          <w:szCs w:val="32"/>
          <w:lang w:eastAsia="zh-CN"/>
        </w:rPr>
        <w:t>马鞍山师范高等专科学校2022</w:t>
      </w:r>
      <w:r>
        <w:rPr>
          <w:rFonts w:hint="eastAsia" w:ascii="仿宋_GB2312" w:hAnsi="仿宋" w:eastAsia="仿宋_GB2312" w:cs="仿宋"/>
          <w:bCs/>
          <w:sz w:val="32"/>
          <w:szCs w:val="32"/>
        </w:rPr>
        <w:t>年一般公共预算基本支出表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w:t>
      </w:r>
      <w:r>
        <w:rPr>
          <w:rFonts w:hint="eastAsia" w:ascii="仿宋_GB2312" w:hAnsi="仿宋" w:eastAsia="仿宋_GB2312" w:cs="仿宋"/>
          <w:bCs/>
          <w:sz w:val="32"/>
          <w:szCs w:val="32"/>
          <w:lang w:eastAsia="zh-CN"/>
        </w:rPr>
        <w:t>马鞍山师范高等专科学校2022</w:t>
      </w:r>
      <w:r>
        <w:rPr>
          <w:rFonts w:hint="eastAsia" w:ascii="仿宋_GB2312" w:hAnsi="仿宋" w:eastAsia="仿宋_GB2312" w:cs="仿宋"/>
          <w:bCs/>
          <w:sz w:val="32"/>
          <w:szCs w:val="32"/>
        </w:rPr>
        <w:t>年政府性基金预算支出表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w:t>
      </w:r>
      <w:r>
        <w:rPr>
          <w:rFonts w:hint="eastAsia" w:ascii="仿宋_GB2312" w:hAnsi="仿宋" w:eastAsia="仿宋_GB2312" w:cs="仿宋"/>
          <w:bCs/>
          <w:sz w:val="32"/>
          <w:szCs w:val="32"/>
          <w:lang w:eastAsia="zh-CN"/>
        </w:rPr>
        <w:t>马鞍山师范高等专科学校2022</w:t>
      </w:r>
      <w:r>
        <w:rPr>
          <w:rFonts w:hint="eastAsia" w:ascii="仿宋_GB2312" w:hAnsi="仿宋" w:eastAsia="仿宋_GB2312" w:cs="仿宋"/>
          <w:bCs/>
          <w:sz w:val="32"/>
          <w:szCs w:val="32"/>
        </w:rPr>
        <w:t>年国有资本经营预算支出表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w:t>
      </w:r>
      <w:r>
        <w:rPr>
          <w:rFonts w:hint="eastAsia" w:ascii="仿宋_GB2312" w:hAnsi="仿宋" w:eastAsia="仿宋_GB2312" w:cs="仿宋"/>
          <w:bCs/>
          <w:sz w:val="32"/>
          <w:szCs w:val="32"/>
          <w:lang w:eastAsia="zh-CN"/>
        </w:rPr>
        <w:t>马鞍山师范高等专科学校2022</w:t>
      </w:r>
      <w:r>
        <w:rPr>
          <w:rFonts w:hint="eastAsia" w:ascii="仿宋_GB2312" w:hAnsi="仿宋" w:eastAsia="仿宋_GB2312" w:cs="仿宋"/>
          <w:bCs/>
          <w:sz w:val="32"/>
          <w:szCs w:val="32"/>
        </w:rPr>
        <w:t>年项目支出表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w:t>
      </w:r>
      <w:r>
        <w:rPr>
          <w:rFonts w:hint="eastAsia" w:ascii="仿宋_GB2312" w:hAnsi="仿宋" w:eastAsia="仿宋_GB2312" w:cs="仿宋"/>
          <w:bCs/>
          <w:sz w:val="32"/>
          <w:szCs w:val="32"/>
          <w:lang w:eastAsia="zh-CN"/>
        </w:rPr>
        <w:t>马鞍山师范高等专科学校2022</w:t>
      </w:r>
      <w:r>
        <w:rPr>
          <w:rFonts w:hint="eastAsia" w:ascii="仿宋_GB2312" w:hAnsi="仿宋" w:eastAsia="仿宋_GB2312" w:cs="仿宋"/>
          <w:bCs/>
          <w:sz w:val="32"/>
          <w:szCs w:val="32"/>
        </w:rPr>
        <w:t>年政府采购支出表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w:t>
      </w:r>
      <w:r>
        <w:rPr>
          <w:rFonts w:hint="eastAsia" w:ascii="仿宋_GB2312" w:hAnsi="仿宋" w:eastAsia="仿宋_GB2312" w:cs="仿宋"/>
          <w:bCs/>
          <w:sz w:val="32"/>
          <w:szCs w:val="32"/>
          <w:lang w:eastAsia="zh-CN"/>
        </w:rPr>
        <w:t>马鞍山师范高等专科学校2022</w:t>
      </w:r>
      <w:r>
        <w:rPr>
          <w:rFonts w:hint="eastAsia" w:ascii="仿宋_GB2312" w:hAnsi="仿宋" w:eastAsia="仿宋_GB2312" w:cs="仿宋"/>
          <w:bCs/>
          <w:sz w:val="32"/>
          <w:szCs w:val="32"/>
        </w:rPr>
        <w:t>年政府购买服务支出表</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 xml:space="preserve">第三部分 </w:t>
      </w:r>
      <w:r>
        <w:rPr>
          <w:rFonts w:hint="eastAsia" w:ascii="仿宋_GB2312" w:hAnsi="仿宋" w:eastAsia="仿宋_GB2312" w:cs="仿宋"/>
          <w:b/>
          <w:sz w:val="32"/>
          <w:szCs w:val="32"/>
          <w:lang w:eastAsia="zh-CN"/>
        </w:rPr>
        <w:t>2022</w:t>
      </w:r>
      <w:r>
        <w:rPr>
          <w:rFonts w:hint="eastAsia" w:ascii="仿宋_GB2312" w:hAnsi="仿宋" w:eastAsia="仿宋_GB2312" w:cs="仿宋"/>
          <w:b/>
          <w:sz w:val="32"/>
          <w:szCs w:val="32"/>
          <w:u w:val="none"/>
        </w:rPr>
        <w:t>年单位</w:t>
      </w:r>
      <w:r>
        <w:rPr>
          <w:rFonts w:hint="eastAsia" w:ascii="仿宋_GB2312" w:hAnsi="仿宋" w:eastAsia="仿宋_GB2312" w:cs="仿宋"/>
          <w:b/>
          <w:sz w:val="32"/>
          <w:szCs w:val="32"/>
        </w:rPr>
        <w:t>预算情况说明</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年收入总表的说明</w:t>
      </w:r>
    </w:p>
    <w:p>
      <w:pPr>
        <w:adjustRightInd w:val="0"/>
        <w:snapToGrid w:val="0"/>
        <w:spacing w:line="60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3.关于</w:t>
      </w:r>
      <w:r>
        <w:rPr>
          <w:rFonts w:hint="eastAsia" w:ascii="仿宋_GB2312" w:hAnsi="仿宋" w:eastAsia="仿宋_GB2312" w:cs="仿宋"/>
          <w:bCs/>
          <w:kern w:val="0"/>
          <w:sz w:val="32"/>
          <w:szCs w:val="32"/>
          <w:lang w:eastAsia="zh-CN"/>
        </w:rPr>
        <w:t>2022</w:t>
      </w:r>
      <w:r>
        <w:rPr>
          <w:rFonts w:hint="eastAsia" w:ascii="仿宋_GB2312" w:hAnsi="仿宋" w:eastAsia="仿宋_GB2312" w:cs="仿宋"/>
          <w:bCs/>
          <w:kern w:val="0"/>
          <w:sz w:val="32"/>
          <w:szCs w:val="32"/>
        </w:rPr>
        <w:t>年支出总表的说明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年财政拨款收支总表的说明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年一般公共预算基本支出表的说明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年政府性基金预算支出表的说明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年国有资本经营预算支出表的说明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年项目支出表的说明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年政府采购支出表的说明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w:t>
      </w:r>
      <w:r>
        <w:rPr>
          <w:rFonts w:hint="eastAsia" w:ascii="仿宋_GB2312" w:hAnsi="仿宋" w:eastAsia="仿宋_GB2312" w:cs="仿宋"/>
          <w:bCs/>
          <w:sz w:val="32"/>
          <w:szCs w:val="32"/>
          <w:lang w:eastAsia="zh-CN"/>
        </w:rPr>
        <w:t>2022</w:t>
      </w:r>
      <w:r>
        <w:rPr>
          <w:rFonts w:hint="eastAsia" w:ascii="仿宋_GB2312" w:hAnsi="仿宋" w:eastAsia="仿宋_GB2312" w:cs="仿宋"/>
          <w:bCs/>
          <w:sz w:val="32"/>
          <w:szCs w:val="32"/>
        </w:rPr>
        <w:t>年政府购买服务支出表的说明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 xml:space="preserve">第一部分 </w:t>
      </w:r>
      <w:r>
        <w:rPr>
          <w:rFonts w:hint="eastAsia" w:ascii="黑体" w:hAnsi="黑体" w:eastAsia="黑体"/>
          <w:bCs/>
          <w:sz w:val="36"/>
          <w:szCs w:val="36"/>
          <w:lang w:eastAsia="zh-CN"/>
        </w:rPr>
        <w:t>单位</w:t>
      </w:r>
      <w:r>
        <w:rPr>
          <w:rFonts w:hint="eastAsia" w:ascii="黑体" w:hAnsi="黑体" w:eastAsia="黑体"/>
          <w:bCs/>
          <w:sz w:val="36"/>
          <w:szCs w:val="36"/>
        </w:rPr>
        <w:t>概况</w:t>
      </w:r>
    </w:p>
    <w:p>
      <w:pPr>
        <w:pStyle w:val="4"/>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4"/>
        <w:adjustRightInd w:val="0"/>
        <w:snapToGrid w:val="0"/>
        <w:spacing w:before="0" w:beforeAutospacing="0" w:after="0" w:afterAutospacing="0" w:line="360" w:lineRule="auto"/>
        <w:ind w:firstLine="784" w:firstLineChars="245"/>
        <w:jc w:val="both"/>
        <w:rPr>
          <w:rFonts w:ascii="仿宋_GB2312" w:hAnsi="黑体" w:eastAsia="仿宋_GB2312"/>
          <w:bCs/>
          <w:sz w:val="32"/>
          <w:szCs w:val="32"/>
        </w:rPr>
      </w:pPr>
      <w:r>
        <w:rPr>
          <w:rFonts w:hint="eastAsia" w:ascii="仿宋_GB2312" w:hAnsi="黑体" w:eastAsia="仿宋_GB2312"/>
          <w:bCs/>
          <w:sz w:val="32"/>
          <w:szCs w:val="32"/>
        </w:rPr>
        <w:t>马鞍山师范高等专科学校全面落实立德树人根本任务，秉承“对接地方产业，服务地方发展”的理念，着眼于“地方性、技能型、特色化”，实施“一体两翼”（高职教育与教师教育两翼并行发展）、“同城错位”（与马鞍山其他职业院校错位协调发展）的发展战略，“产教融合、校企合作”的人才培养模式改革成效明显，“全员育人、特色培养”的人才培养体系基本完备，“集群发展、特色发展”的专业建设格局基本形成，“全程实施、多样成才”的创新创业与就业教育特色彰显。经过60余年的发展建设，学校形成了鲜明的办学特色，业已成为地方和行业人才培养、科学研究、社会服务、文化传承创新与国际交流合作的重要基地。</w:t>
      </w:r>
    </w:p>
    <w:p>
      <w:pPr>
        <w:pStyle w:val="4"/>
        <w:numPr>
          <w:ilvl w:val="0"/>
          <w:numId w:val="1"/>
        </w:numPr>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r>
        <w:rPr>
          <w:rFonts w:hint="eastAsia" w:ascii="黑体" w:hAnsi="黑体" w:eastAsia="黑体"/>
          <w:bCs/>
          <w:sz w:val="32"/>
          <w:szCs w:val="32"/>
          <w:u w:val="none"/>
        </w:rPr>
        <w:t>单位</w:t>
      </w:r>
      <w:r>
        <w:rPr>
          <w:rFonts w:hint="eastAsia" w:ascii="黑体" w:hAnsi="黑体" w:eastAsia="黑体"/>
          <w:bCs/>
          <w:sz w:val="32"/>
          <w:szCs w:val="32"/>
        </w:rPr>
        <w:t>预算构成</w:t>
      </w:r>
    </w:p>
    <w:p>
      <w:pPr>
        <w:pStyle w:val="4"/>
        <w:adjustRightInd w:val="0"/>
        <w:snapToGrid w:val="0"/>
        <w:spacing w:before="0" w:beforeAutospacing="0" w:after="0" w:afterAutospacing="0" w:line="600" w:lineRule="exact"/>
        <w:ind w:firstLine="480" w:firstLineChars="150"/>
        <w:outlineLvl w:val="0"/>
        <w:rPr>
          <w:rFonts w:hint="eastAsia" w:ascii="楷体_GB2312" w:hAnsi="仿宋" w:eastAsia="楷体_GB2312" w:cs="Times New Roman"/>
          <w:bCs/>
          <w:color w:val="FF0000"/>
          <w:kern w:val="2"/>
          <w:sz w:val="32"/>
          <w:szCs w:val="32"/>
        </w:rPr>
      </w:pPr>
      <w:r>
        <w:rPr>
          <w:rFonts w:hint="eastAsia" w:ascii="楷体_GB2312" w:hAnsi="仿宋" w:eastAsia="楷体_GB2312" w:cs="Times New Roman"/>
          <w:color w:val="FF0000"/>
          <w:kern w:val="2"/>
          <w:sz w:val="32"/>
          <w:szCs w:val="32"/>
          <w:lang w:val="en-US" w:eastAsia="zh-CN"/>
        </w:rPr>
        <w:t xml:space="preserve">   </w:t>
      </w:r>
      <w:r>
        <w:rPr>
          <w:rFonts w:hint="eastAsia" w:ascii="仿宋_GB2312" w:hAnsi="黑体" w:eastAsia="仿宋_GB2312"/>
          <w:bCs/>
          <w:sz w:val="32"/>
          <w:szCs w:val="32"/>
        </w:rPr>
        <w:t>从预算单位构成看，马鞍山师范高等专科学校202</w:t>
      </w:r>
      <w:r>
        <w:rPr>
          <w:rFonts w:hint="eastAsia" w:ascii="仿宋_GB2312" w:hAnsi="黑体" w:eastAsia="仿宋_GB2312"/>
          <w:bCs/>
          <w:sz w:val="32"/>
          <w:szCs w:val="32"/>
          <w:lang w:val="en-US" w:eastAsia="zh-CN"/>
        </w:rPr>
        <w:t>2</w:t>
      </w:r>
      <w:r>
        <w:rPr>
          <w:rFonts w:hint="eastAsia" w:ascii="仿宋_GB2312" w:hAnsi="黑体" w:eastAsia="仿宋_GB2312"/>
          <w:bCs/>
          <w:sz w:val="32"/>
          <w:szCs w:val="32"/>
        </w:rPr>
        <w:t>年度单位预算仅包括本级预算，无其他下属单位预算。</w:t>
      </w:r>
    </w:p>
    <w:p>
      <w:pPr>
        <w:pStyle w:val="4"/>
        <w:adjustRightInd w:val="0"/>
        <w:snapToGrid w:val="0"/>
        <w:spacing w:before="0" w:beforeAutospacing="0" w:after="0" w:afterAutospacing="0" w:line="600" w:lineRule="exact"/>
        <w:ind w:firstLine="480" w:firstLineChars="150"/>
        <w:outlineLvl w:val="0"/>
        <w:rPr>
          <w:rFonts w:hint="eastAsia" w:ascii="黑体" w:hAnsi="黑体" w:eastAsia="黑体"/>
          <w:bCs/>
          <w:sz w:val="32"/>
          <w:szCs w:val="32"/>
        </w:rPr>
      </w:pPr>
      <w:r>
        <w:rPr>
          <w:rFonts w:hint="eastAsia" w:ascii="仿宋_GB2312" w:hAnsi="仿宋" w:eastAsia="仿宋_GB2312" w:cs="仿宋"/>
          <w:bCs/>
          <w:sz w:val="32"/>
          <w:szCs w:val="32"/>
          <w:lang w:val="en-US" w:eastAsia="zh-CN"/>
        </w:rPr>
        <w:t xml:space="preserve"> </w:t>
      </w:r>
      <w:r>
        <w:rPr>
          <w:rFonts w:hint="eastAsia" w:ascii="黑体" w:hAnsi="黑体" w:eastAsia="黑体"/>
          <w:bCs/>
          <w:sz w:val="32"/>
          <w:szCs w:val="32"/>
        </w:rPr>
        <w:t>三、</w:t>
      </w:r>
      <w:r>
        <w:rPr>
          <w:rFonts w:hint="eastAsia" w:ascii="黑体" w:hAnsi="黑体" w:eastAsia="黑体"/>
          <w:bCs/>
          <w:sz w:val="32"/>
          <w:szCs w:val="32"/>
          <w:lang w:eastAsia="zh-CN"/>
        </w:rPr>
        <w:t>2022</w:t>
      </w:r>
      <w:r>
        <w:rPr>
          <w:rFonts w:hint="eastAsia" w:ascii="黑体" w:hAnsi="黑体" w:eastAsia="黑体"/>
          <w:bCs/>
          <w:sz w:val="32"/>
          <w:szCs w:val="32"/>
        </w:rPr>
        <w:t>年度主要工作任务</w:t>
      </w:r>
    </w:p>
    <w:p>
      <w:pPr>
        <w:pStyle w:val="4"/>
        <w:adjustRightInd w:val="0"/>
        <w:snapToGrid w:val="0"/>
        <w:spacing w:before="0" w:beforeAutospacing="0" w:after="0" w:afterAutospacing="0" w:line="600" w:lineRule="exact"/>
        <w:ind w:firstLine="480" w:firstLineChars="150"/>
        <w:outlineLvl w:val="0"/>
        <w:rPr>
          <w:rFonts w:hint="eastAsia" w:ascii="仿宋_GB2312" w:hAnsi="仿宋" w:eastAsia="仿宋_GB2312" w:cs="仿宋"/>
          <w:bCs/>
          <w:sz w:val="32"/>
          <w:szCs w:val="32"/>
        </w:rPr>
      </w:pPr>
      <w:r>
        <w:rPr>
          <w:rFonts w:hint="eastAsia" w:ascii="仿宋_GB2312" w:hAnsi="仿宋" w:eastAsia="仿宋_GB2312" w:cs="仿宋"/>
          <w:bCs/>
          <w:sz w:val="32"/>
          <w:szCs w:val="32"/>
          <w:lang w:val="en-US" w:eastAsia="zh-CN"/>
        </w:rPr>
        <w:t xml:space="preserve">   </w:t>
      </w:r>
      <w:r>
        <w:rPr>
          <w:rFonts w:hint="eastAsia" w:ascii="仿宋_GB2312" w:hAnsi="仿宋" w:eastAsia="仿宋_GB2312" w:cs="仿宋"/>
          <w:bCs/>
          <w:sz w:val="32"/>
          <w:szCs w:val="32"/>
        </w:rPr>
        <w:t>2022年是新时代新征程中具有特殊重要意义的一年，我们党将召开二十大。学校工作总体要求是：坚持以习近平新时代中国特色社会主义思想为指导，深入学习贯彻党的十九大和十九届历次全会精神，全面落实习近平总书记对安徽作出的系列重要讲话指示批示精神和关于教育的重要论述，弘扬伟大建党精神，把握“稳字当头、稳中求进、稳中创新、稳中突破”工作总基调，紧扣高质量、跨越式发展主线，树立“服务、质量、创新”意识，落实“稳、细、实”工作要求，准确识变、科学应变、主动求变，以改革精神攻坚克难、以创新突破谋求发展、以前瞻思维创造卓越，着力转变观念、守正创新、攻坚克难、守住底线，围绕合并升本目标，聚焦关键核心要素，确保“对标达标”，全力提升办学层次和水平，以优异成绩迎接党的二十大胜利召开。</w:t>
      </w:r>
    </w:p>
    <w:p>
      <w:pPr>
        <w:numPr>
          <w:ilvl w:val="0"/>
          <w:numId w:val="0"/>
        </w:numPr>
        <w:ind w:firstLine="640" w:firstLineChars="200"/>
        <w:rPr>
          <w:rFonts w:hint="eastAsia" w:ascii="仿宋_GB2312" w:hAnsi="仿宋" w:eastAsia="仿宋_GB2312" w:cs="仿宋"/>
          <w:bCs/>
          <w:kern w:val="0"/>
          <w:sz w:val="32"/>
          <w:szCs w:val="32"/>
          <w:lang w:val="en-US" w:eastAsia="zh-CN" w:bidi="ar-SA"/>
        </w:rPr>
      </w:pPr>
      <w:r>
        <w:rPr>
          <w:rFonts w:hint="eastAsia" w:ascii="仿宋_GB2312" w:hAnsi="仿宋" w:eastAsia="仿宋_GB2312" w:cs="仿宋"/>
          <w:bCs/>
          <w:kern w:val="0"/>
          <w:sz w:val="32"/>
          <w:szCs w:val="32"/>
          <w:lang w:val="en-US" w:eastAsia="zh-CN" w:bidi="ar-SA"/>
        </w:rPr>
        <w:t>（一）加强党的全面领导，推进全面从严治党向纵深发展。强化思想理论武装，突出党的政治建设，夯实基层党建根基，培育高素质干部队伍，坚定不移全面从严治党，加强意识形态、宣传舆论工作，汇聚学校发展强大合力。</w:t>
      </w:r>
    </w:p>
    <w:p>
      <w:pPr>
        <w:numPr>
          <w:ilvl w:val="0"/>
          <w:numId w:val="0"/>
        </w:numPr>
        <w:ind w:firstLine="640" w:firstLineChars="200"/>
        <w:rPr>
          <w:rFonts w:hint="eastAsia" w:ascii="仿宋_GB2312" w:hAnsi="仿宋" w:eastAsia="仿宋_GB2312" w:cs="仿宋"/>
          <w:bCs/>
          <w:kern w:val="0"/>
          <w:sz w:val="32"/>
          <w:szCs w:val="32"/>
          <w:lang w:val="en-US" w:eastAsia="zh-CN" w:bidi="ar-SA"/>
        </w:rPr>
      </w:pPr>
      <w:r>
        <w:rPr>
          <w:rFonts w:hint="eastAsia" w:ascii="仿宋_GB2312" w:hAnsi="仿宋" w:eastAsia="仿宋_GB2312" w:cs="仿宋"/>
          <w:bCs/>
          <w:kern w:val="0"/>
          <w:sz w:val="32"/>
          <w:szCs w:val="32"/>
          <w:lang w:val="en-US" w:eastAsia="zh-CN" w:bidi="ar-SA"/>
        </w:rPr>
        <w:t>（二）落实立德树人根本任务，提高人才培养质量。完善德智体美劳全面培养的育人体系，深化人才培养模式改革，强化招生就业工作，持续推进“三教”改革，加强科研服务工作，做好技能大赛和职业技能培训工作，提升社会服务、文化传承创新能力。</w:t>
      </w:r>
    </w:p>
    <w:p>
      <w:pPr>
        <w:numPr>
          <w:ilvl w:val="0"/>
          <w:numId w:val="0"/>
        </w:numPr>
        <w:ind w:firstLine="640" w:firstLineChars="200"/>
        <w:rPr>
          <w:rFonts w:hint="eastAsia" w:ascii="仿宋_GB2312" w:hAnsi="仿宋" w:eastAsia="仿宋_GB2312" w:cs="仿宋"/>
          <w:bCs/>
          <w:kern w:val="0"/>
          <w:sz w:val="32"/>
          <w:szCs w:val="32"/>
          <w:lang w:val="en-US" w:eastAsia="zh-CN" w:bidi="ar-SA"/>
        </w:rPr>
      </w:pPr>
      <w:r>
        <w:rPr>
          <w:rFonts w:hint="eastAsia" w:ascii="仿宋_GB2312" w:hAnsi="仿宋" w:eastAsia="仿宋_GB2312" w:cs="仿宋"/>
          <w:bCs/>
          <w:kern w:val="0"/>
          <w:sz w:val="32"/>
          <w:szCs w:val="32"/>
          <w:lang w:val="en-US" w:eastAsia="zh-CN" w:bidi="ar-SA"/>
        </w:rPr>
        <w:t>（三）外延发展和内涵建设并举，开展“合并升本突破年”活动。深入实施学校“十四五”规划，切实转变思想观念和工作作风，打造高素质专业化创新型教师队伍，统筹专业建设发展，整合教育教学资源，</w:t>
      </w:r>
    </w:p>
    <w:p>
      <w:pPr>
        <w:numPr>
          <w:ilvl w:val="0"/>
          <w:numId w:val="0"/>
        </w:numPr>
        <w:ind w:firstLine="640" w:firstLineChars="200"/>
        <w:rPr>
          <w:rFonts w:hint="eastAsia" w:ascii="仿宋_GB2312" w:hAnsi="仿宋" w:eastAsia="仿宋_GB2312" w:cs="仿宋"/>
          <w:bCs/>
          <w:kern w:val="0"/>
          <w:sz w:val="32"/>
          <w:szCs w:val="32"/>
          <w:lang w:val="en-US" w:eastAsia="zh-CN" w:bidi="ar-SA"/>
        </w:rPr>
      </w:pPr>
      <w:r>
        <w:rPr>
          <w:rFonts w:hint="eastAsia" w:ascii="仿宋_GB2312" w:hAnsi="仿宋" w:eastAsia="仿宋_GB2312" w:cs="仿宋"/>
          <w:bCs/>
          <w:kern w:val="0"/>
          <w:sz w:val="32"/>
          <w:szCs w:val="32"/>
          <w:lang w:val="en-US" w:eastAsia="zh-CN" w:bidi="ar-SA"/>
        </w:rPr>
        <w:t>（四）勇担责任使命，全力推进学校治理体系和治理能力现代化。持续做好常态化疫情防控工作，推进校园信息化建设，加快国际化办学步伐，维护校园稳定安全，推进校园公共服务体系建设。</w:t>
      </w:r>
    </w:p>
    <w:p>
      <w:pPr>
        <w:numPr>
          <w:ilvl w:val="0"/>
          <w:numId w:val="0"/>
        </w:numPr>
        <w:rPr>
          <w:rFonts w:hint="eastAsia" w:ascii="黑体" w:hAnsi="黑体" w:eastAsia="黑体"/>
          <w:color w:val="000000"/>
          <w:sz w:val="28"/>
        </w:rPr>
      </w:pPr>
    </w:p>
    <w:p>
      <w:pPr>
        <w:pStyle w:val="4"/>
        <w:adjustRightInd w:val="0"/>
        <w:snapToGrid w:val="0"/>
        <w:spacing w:before="0" w:beforeAutospacing="0" w:after="0" w:afterAutospacing="0" w:line="360" w:lineRule="auto"/>
        <w:rPr>
          <w:rFonts w:hint="default" w:ascii="黑体" w:hAnsi="黑体" w:eastAsia="黑体"/>
          <w:bCs/>
          <w:sz w:val="36"/>
          <w:szCs w:val="36"/>
          <w:lang w:val="en-US" w:eastAsia="zh-CN"/>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jc w:val="center"/>
        <w:rPr>
          <w:rFonts w:hint="eastAsia" w:ascii="黑体" w:hAnsi="黑体" w:eastAsia="黑体"/>
          <w:bCs/>
          <w:sz w:val="36"/>
          <w:szCs w:val="36"/>
        </w:rPr>
      </w:pPr>
    </w:p>
    <w:p>
      <w:pPr>
        <w:pStyle w:val="4"/>
        <w:adjustRightInd w:val="0"/>
        <w:snapToGrid w:val="0"/>
        <w:spacing w:before="0" w:beforeAutospacing="0" w:after="0" w:afterAutospacing="0" w:line="360" w:lineRule="auto"/>
        <w:jc w:val="center"/>
        <w:rPr>
          <w:rFonts w:hint="eastAsia" w:ascii="黑体" w:hAnsi="黑体" w:eastAsia="黑体"/>
          <w:bCs/>
          <w:sz w:val="36"/>
          <w:szCs w:val="36"/>
        </w:rPr>
      </w:pPr>
    </w:p>
    <w:p>
      <w:pPr>
        <w:pStyle w:val="4"/>
        <w:adjustRightInd w:val="0"/>
        <w:snapToGrid w:val="0"/>
        <w:spacing w:before="0" w:beforeAutospacing="0" w:after="0" w:afterAutospacing="0" w:line="360" w:lineRule="auto"/>
        <w:jc w:val="center"/>
        <w:rPr>
          <w:rFonts w:hint="eastAsia" w:ascii="黑体" w:hAnsi="黑体" w:eastAsia="黑体"/>
          <w:bCs/>
          <w:sz w:val="36"/>
          <w:szCs w:val="36"/>
        </w:rPr>
      </w:pPr>
    </w:p>
    <w:p>
      <w:pPr>
        <w:pStyle w:val="4"/>
        <w:adjustRightInd w:val="0"/>
        <w:snapToGrid w:val="0"/>
        <w:spacing w:before="0" w:beforeAutospacing="0" w:after="0" w:afterAutospacing="0" w:line="360" w:lineRule="auto"/>
        <w:ind w:firstLine="2520" w:firstLineChars="700"/>
        <w:jc w:val="both"/>
        <w:rPr>
          <w:rFonts w:ascii="宋体" w:hAnsi="宋体" w:cs="宋体"/>
          <w:kern w:val="0"/>
          <w:sz w:val="20"/>
          <w:szCs w:val="20"/>
        </w:rPr>
      </w:pPr>
      <w:r>
        <w:rPr>
          <w:rFonts w:hint="eastAsia" w:ascii="黑体" w:hAnsi="黑体" w:eastAsia="黑体"/>
          <w:bCs/>
          <w:sz w:val="36"/>
          <w:szCs w:val="36"/>
        </w:rPr>
        <w:t xml:space="preserve">第二部分 </w:t>
      </w:r>
      <w:r>
        <w:rPr>
          <w:rFonts w:hint="eastAsia" w:ascii="黑体" w:hAnsi="黑体" w:eastAsia="黑体"/>
          <w:bCs/>
          <w:sz w:val="36"/>
          <w:szCs w:val="36"/>
          <w:lang w:eastAsia="zh-CN"/>
        </w:rPr>
        <w:t>2022</w:t>
      </w:r>
      <w:r>
        <w:rPr>
          <w:rFonts w:hint="eastAsia" w:ascii="黑体" w:hAnsi="黑体" w:eastAsia="黑体"/>
          <w:bCs/>
          <w:sz w:val="36"/>
          <w:szCs w:val="36"/>
        </w:rPr>
        <w:t>年</w:t>
      </w:r>
      <w:r>
        <w:rPr>
          <w:rFonts w:hint="eastAsia" w:ascii="黑体" w:hAnsi="黑体" w:eastAsia="黑体"/>
          <w:bCs/>
          <w:sz w:val="36"/>
          <w:szCs w:val="36"/>
          <w:lang w:eastAsia="zh-CN"/>
        </w:rPr>
        <w:t>单位</w:t>
      </w:r>
      <w:r>
        <w:rPr>
          <w:rFonts w:hint="eastAsia" w:ascii="黑体" w:hAnsi="黑体" w:eastAsia="黑体"/>
          <w:bCs/>
          <w:sz w:val="36"/>
          <w:szCs w:val="36"/>
        </w:rPr>
        <w:t>预算表</w:t>
      </w:r>
      <w:r>
        <w:rPr>
          <w:rFonts w:hint="eastAsia" w:ascii="宋体" w:hAnsi="宋体" w:cs="宋体"/>
          <w:kern w:val="0"/>
          <w:sz w:val="20"/>
          <w:szCs w:val="20"/>
        </w:rPr>
        <w:t xml:space="preserve">                </w:t>
      </w:r>
    </w:p>
    <w:p>
      <w:pPr>
        <w:rPr>
          <w:rFonts w:hint="eastAsia" w:ascii="宋体" w:hAnsi="宋体" w:cs="宋体" w:eastAsiaTheme="minorEastAsia"/>
          <w:kern w:val="0"/>
          <w:sz w:val="20"/>
          <w:szCs w:val="20"/>
          <w:lang w:eastAsia="zh-CN"/>
        </w:rPr>
      </w:pPr>
      <w:r>
        <w:rPr>
          <w:rFonts w:hint="eastAsia" w:ascii="华文中宋" w:hAnsi="华文中宋" w:eastAsia="华文中宋" w:cs="宋体"/>
          <w:b/>
          <w:bCs/>
          <w:kern w:val="0"/>
          <w:sz w:val="32"/>
          <w:szCs w:val="32"/>
        </w:rPr>
        <w:t xml:space="preserve">   </w:t>
      </w:r>
      <w:r>
        <w:rPr>
          <w:rFonts w:hint="eastAsia" w:ascii="宋体" w:hAnsi="宋体" w:cs="宋体" w:eastAsiaTheme="minorEastAsia"/>
          <w:kern w:val="0"/>
          <w:sz w:val="20"/>
          <w:szCs w:val="20"/>
          <w:lang w:eastAsia="zh-CN"/>
        </w:rPr>
        <w:object>
          <v:shape id="_x0000_i1025" o:spt="75" type="#_x0000_t75" style="height:35.4pt;width:67.8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r>
        <w:rPr>
          <w:rFonts w:hint="eastAsia" w:ascii="宋体" w:hAnsi="宋体" w:cs="宋体" w:eastAsiaTheme="minorEastAsia"/>
          <w:kern w:val="0"/>
          <w:sz w:val="20"/>
          <w:szCs w:val="20"/>
          <w:lang w:eastAsia="zh-CN"/>
        </w:rPr>
        <w:object>
          <v:shape id="_x0000_i1046" o:spt="75" type="#_x0000_t75" style="height:587.15pt;width:2411.1pt;" o:ole="t" filled="f" o:preferrelative="t" stroked="f" coordsize="21600,21600">
            <v:path/>
            <v:fill on="f" focussize="0,0"/>
            <v:stroke on="f"/>
            <v:imagedata r:id="rId8" o:title=""/>
            <o:lock v:ext="edit" aspectratio="t"/>
            <w10:wrap type="none"/>
            <w10:anchorlock/>
          </v:shape>
          <o:OLEObject Type="Embed" ProgID="Excel.Sheet.8" ShapeID="_x0000_i1046" DrawAspect="Content" ObjectID="_1468075726" r:id="rId7">
            <o:LockedField>false</o:LockedField>
          </o:OLEObject>
        </w:object>
      </w:r>
      <w:r>
        <w:rPr>
          <w:rFonts w:hint="eastAsia" w:ascii="宋体" w:hAnsi="宋体" w:cs="宋体" w:eastAsiaTheme="minorEastAsia"/>
          <w:kern w:val="0"/>
          <w:sz w:val="20"/>
          <w:szCs w:val="20"/>
          <w:lang w:eastAsia="zh-CN"/>
        </w:rPr>
        <w:object>
          <v:shape id="_x0000_i1027" o:spt="75" type="#_x0000_t75" style="height:13.2pt;width:70.2pt;" o:ole="t" filled="f" o:preferrelative="t" stroked="f" coordsize="21600,21600">
            <v:path/>
            <v:fill on="f" focussize="0,0"/>
            <v:stroke on="f"/>
            <v:imagedata r:id="rId10" o:title=""/>
            <o:lock v:ext="edit" aspectratio="t"/>
            <w10:wrap type="none"/>
            <w10:anchorlock/>
          </v:shape>
          <o:OLEObject Type="Embed" ProgID="Excel.Sheet.8" ShapeID="_x0000_i1027" DrawAspect="Content" ObjectID="_1468075727" r:id="rId9">
            <o:LockedField>false</o:LockedField>
          </o:OLEObject>
        </w:object>
      </w:r>
    </w:p>
    <w:p>
      <w:pPr>
        <w:rPr>
          <w:rFonts w:hint="eastAsia" w:ascii="华文中宋" w:hAnsi="华文中宋" w:eastAsia="华文中宋" w:cs="宋体"/>
          <w:b/>
          <w:bCs/>
          <w:kern w:val="0"/>
          <w:sz w:val="32"/>
          <w:szCs w:val="32"/>
          <w:lang w:eastAsia="zh-CN"/>
        </w:rPr>
        <w:sectPr>
          <w:footerReference r:id="rId3" w:type="default"/>
          <w:pgSz w:w="11906" w:h="16838"/>
          <w:pgMar w:top="1440" w:right="1344" w:bottom="1440" w:left="777" w:header="851" w:footer="992" w:gutter="0"/>
          <w:cols w:space="0" w:num="1"/>
          <w:rtlGutter w:val="0"/>
          <w:docGrid w:type="lines" w:linePitch="312" w:charSpace="0"/>
        </w:sectPr>
      </w:pP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lang w:eastAsia="zh-CN"/>
        </w:rPr>
        <w:object>
          <v:shape id="_x0000_i1028" o:spt="75" type="#_x0000_t75" style="height:337.55pt;width:542.95pt;" o:ole="t" filled="f" o:preferrelative="t" stroked="f" coordsize="21600,21600">
            <v:path/>
            <v:fill on="f" focussize="0,0"/>
            <v:stroke on="f"/>
            <v:imagedata r:id="rId12" o:title=""/>
            <o:lock v:ext="edit" aspectratio="t"/>
            <w10:wrap type="none"/>
            <w10:anchorlock/>
          </v:shape>
          <o:OLEObject Type="Embed" ProgID="Excel.Sheet.8" ShapeID="_x0000_i1028" DrawAspect="Content" ObjectID="_1468075728" r:id="rId11">
            <o:LockedField>false</o:LockedField>
          </o:OLEObject>
        </w:object>
      </w:r>
    </w:p>
    <w:p>
      <w:pPr>
        <w:rPr>
          <w:rFonts w:hint="eastAsia" w:ascii="华文中宋" w:hAnsi="华文中宋" w:eastAsia="华文中宋" w:cs="宋体"/>
          <w:b/>
          <w:bCs/>
          <w:kern w:val="0"/>
          <w:sz w:val="32"/>
          <w:szCs w:val="32"/>
          <w:lang w:eastAsia="zh-CN"/>
        </w:rPr>
        <w:sectPr>
          <w:pgSz w:w="11906" w:h="16838"/>
          <w:pgMar w:top="1440" w:right="1344" w:bottom="1440" w:left="777" w:header="851" w:footer="992" w:gutter="0"/>
          <w:cols w:space="425" w:num="1"/>
          <w:docGrid w:type="lines" w:linePitch="312" w:charSpace="0"/>
        </w:sectPr>
      </w:pPr>
      <w:r>
        <w:rPr>
          <w:rFonts w:hint="eastAsia" w:ascii="华文中宋" w:hAnsi="华文中宋" w:eastAsia="华文中宋" w:cs="宋体"/>
          <w:b/>
          <w:bCs/>
          <w:kern w:val="0"/>
          <w:sz w:val="32"/>
          <w:szCs w:val="32"/>
          <w:lang w:eastAsia="zh-CN"/>
        </w:rPr>
        <w:object>
          <v:shape id="_x0000_i1029" o:spt="75" type="#_x0000_t75" style="height:341.25pt;width:534.85pt;" o:ole="t" filled="f" o:preferrelative="t" stroked="f" coordsize="21600,21600">
            <v:path/>
            <v:fill on="f" focussize="0,0"/>
            <v:stroke on="f"/>
            <v:imagedata r:id="rId14" o:title=""/>
            <o:lock v:ext="edit" aspectratio="t"/>
            <w10:wrap type="none"/>
            <w10:anchorlock/>
          </v:shape>
          <o:OLEObject Type="Embed" ProgID="Excel.Sheet.8" ShapeID="_x0000_i1029" DrawAspect="Content" ObjectID="_1468075729" r:id="rId13">
            <o:LockedField>false</o:LockedField>
          </o:OLEObject>
        </w:object>
      </w:r>
    </w:p>
    <w:p>
      <w:pPr>
        <w:rPr>
          <w:rFonts w:hint="eastAsia" w:ascii="华文中宋" w:hAnsi="华文中宋" w:eastAsia="华文中宋" w:cs="宋体"/>
          <w:b/>
          <w:bCs/>
          <w:kern w:val="0"/>
          <w:sz w:val="32"/>
          <w:szCs w:val="32"/>
          <w:lang w:eastAsia="zh-CN"/>
        </w:rPr>
      </w:pPr>
    </w:p>
    <w:p>
      <w:pPr>
        <w:rPr>
          <w:rFonts w:hint="eastAsia" w:ascii="华文中宋" w:hAnsi="华文中宋" w:eastAsia="华文中宋" w:cs="宋体"/>
          <w:b/>
          <w:bCs/>
          <w:kern w:val="0"/>
          <w:sz w:val="32"/>
          <w:szCs w:val="32"/>
          <w:lang w:eastAsia="zh-CN"/>
        </w:rPr>
      </w:pPr>
      <w:r>
        <w:rPr>
          <w:rFonts w:hint="eastAsia" w:ascii="华文中宋" w:hAnsi="华文中宋" w:eastAsia="华文中宋" w:cs="宋体"/>
          <w:b/>
          <w:bCs/>
          <w:kern w:val="0"/>
          <w:sz w:val="32"/>
          <w:szCs w:val="32"/>
          <w:lang w:eastAsia="zh-CN"/>
        </w:rPr>
        <w:object>
          <v:shape id="_x0000_i1030" o:spt="75" alt="" type="#_x0000_t75" style="height:598.8pt;width:2991.2pt;" o:ole="t" filled="f" o:preferrelative="t" stroked="f" coordsize="21600,21600">
            <v:path/>
            <v:fill on="f" focussize="0,0"/>
            <v:stroke on="f"/>
            <v:imagedata r:id="rId16" o:title=""/>
            <o:lock v:ext="edit" aspectratio="t"/>
            <w10:wrap type="none"/>
            <w10:anchorlock/>
          </v:shape>
          <o:OLEObject Type="Embed" ProgID="Excel.Sheet.8" ShapeID="_x0000_i1030" DrawAspect="Content" ObjectID="_1468075730" r:id="rId15">
            <o:LockedField>false</o:LockedField>
          </o:OLEObject>
        </w:object>
      </w:r>
    </w:p>
    <w:p>
      <w:pPr>
        <w:rPr>
          <w:rFonts w:hint="eastAsia"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w:t>
      </w:r>
    </w:p>
    <w:p>
      <w:pPr>
        <w:rPr>
          <w:rFonts w:hint="eastAsia" w:ascii="宋体" w:hAnsi="宋体" w:eastAsia="华文中宋" w:cs="宋体"/>
          <w:kern w:val="0"/>
          <w:sz w:val="20"/>
          <w:szCs w:val="20"/>
          <w:lang w:eastAsia="zh-CN"/>
        </w:rPr>
      </w:pP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rPr>
        <w:object>
          <v:shape id="_x0000_i1031" o:spt="75" type="#_x0000_t75" style="height:357.05pt;width:559.75pt;" o:ole="t" filled="f" o:preferrelative="t" stroked="f" coordsize="21600,21600">
            <v:path/>
            <v:fill on="f" focussize="0,0"/>
            <v:stroke on="f"/>
            <v:imagedata r:id="rId18" o:title=""/>
            <o:lock v:ext="edit" aspectratio="t"/>
            <w10:wrap type="none"/>
            <w10:anchorlock/>
          </v:shape>
          <o:OLEObject Type="Embed" ProgID="Excel.Sheet.8" ShapeID="_x0000_i1031" DrawAspect="Content" ObjectID="_1468075731" r:id="rId17">
            <o:LockedField>false</o:LockedField>
          </o:OLEObject>
        </w:object>
      </w: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rPr>
          <w:rFonts w:hint="eastAsia" w:ascii="宋体" w:hAnsi="宋体" w:cs="宋体" w:eastAsiaTheme="minorEastAsia"/>
          <w:kern w:val="0"/>
          <w:sz w:val="20"/>
          <w:szCs w:val="20"/>
          <w:lang w:eastAsia="zh-CN"/>
        </w:rPr>
      </w:pPr>
      <w:r>
        <w:rPr>
          <w:rFonts w:hint="eastAsia" w:ascii="宋体" w:hAnsi="宋体" w:cs="宋体" w:eastAsiaTheme="minorEastAsia"/>
          <w:kern w:val="0"/>
          <w:sz w:val="20"/>
          <w:szCs w:val="20"/>
          <w:lang w:eastAsia="zh-CN"/>
        </w:rPr>
        <w:object>
          <v:shape id="_x0000_i1043" o:spt="75" type="#_x0000_t75" style="height:470.9pt;width:528.2pt;" o:ole="t" filled="f" o:preferrelative="t" stroked="f" coordsize="21600,21600">
            <v:path/>
            <v:fill on="f" focussize="0,0"/>
            <v:stroke on="f"/>
            <v:imagedata r:id="rId20" o:title=""/>
            <o:lock v:ext="edit" aspectratio="t"/>
            <w10:wrap type="none"/>
            <w10:anchorlock/>
          </v:shape>
          <o:OLEObject Type="Embed" ProgID="Excel.Sheet.8" ShapeID="_x0000_i1043" DrawAspect="Content" ObjectID="_1468075732" r:id="rId19">
            <o:LockedField>false</o:LockedField>
          </o:OLEObject>
        </w:object>
      </w:r>
    </w:p>
    <w:p>
      <w:pPr>
        <w:rPr>
          <w:rFonts w:ascii="宋体" w:hAnsi="宋体" w:cs="宋体"/>
          <w:kern w:val="0"/>
          <w:sz w:val="20"/>
          <w:szCs w:val="20"/>
        </w:rPr>
      </w:pPr>
    </w:p>
    <w:p>
      <w:pPr>
        <w:rPr>
          <w:rFonts w:ascii="宋体" w:hAnsi="宋体" w:cs="宋体"/>
          <w:kern w:val="0"/>
          <w:sz w:val="20"/>
          <w:szCs w:val="20"/>
        </w:rPr>
      </w:pPr>
    </w:p>
    <w:p>
      <w:pPr>
        <w:rPr>
          <w:rFonts w:hint="eastAsia" w:ascii="宋体" w:hAnsi="宋体" w:cs="宋体" w:eastAsiaTheme="minorEastAsia"/>
          <w:kern w:val="0"/>
          <w:sz w:val="20"/>
          <w:szCs w:val="20"/>
          <w:lang w:eastAsia="zh-CN"/>
        </w:rPr>
        <w:sectPr>
          <w:pgSz w:w="11906" w:h="16838"/>
          <w:pgMar w:top="1440" w:right="1344" w:bottom="1440" w:left="777" w:header="851" w:footer="992" w:gutter="0"/>
          <w:cols w:space="0" w:num="1"/>
          <w:rtlGutter w:val="0"/>
          <w:docGrid w:type="lines" w:linePitch="312" w:charSpace="0"/>
        </w:sectPr>
      </w:pPr>
    </w:p>
    <w:p>
      <w:pPr>
        <w:pStyle w:val="4"/>
        <w:adjustRightInd w:val="0"/>
        <w:snapToGrid w:val="0"/>
        <w:spacing w:before="0" w:beforeAutospacing="0" w:after="0" w:afterAutospacing="0" w:line="360" w:lineRule="auto"/>
        <w:rPr>
          <w:rFonts w:hint="eastAsia" w:eastAsiaTheme="minorEastAsia"/>
          <w:lang w:eastAsia="zh-CN"/>
        </w:rPr>
      </w:pPr>
      <w:r>
        <w:rPr>
          <w:rFonts w:hint="eastAsia" w:eastAsiaTheme="minorEastAsia"/>
          <w:lang w:eastAsia="zh-CN"/>
        </w:rPr>
        <w:object>
          <v:shape id="_x0000_i1047" o:spt="75" type="#_x0000_t75" style="height:158.4pt;width:1223.4pt;" o:ole="t" filled="f" o:preferrelative="t" stroked="f" coordsize="21600,21600">
            <v:fill on="f" focussize="0,0"/>
            <v:stroke on="f"/>
            <v:imagedata r:id="rId22" o:title=""/>
            <o:lock v:ext="edit" aspectratio="t"/>
            <w10:wrap type="none"/>
            <w10:anchorlock/>
          </v:shape>
          <o:OLEObject Type="Embed" ProgID="Excel.Sheet.8" ShapeID="_x0000_i1047" DrawAspect="Content" ObjectID="_1468075733" r:id="rId21">
            <o:LockedField>false</o:LockedField>
          </o:OLEObject>
        </w:object>
      </w:r>
    </w:p>
    <w:p>
      <w:pPr>
        <w:pStyle w:val="4"/>
        <w:adjustRightInd w:val="0"/>
        <w:snapToGrid w:val="0"/>
        <w:spacing w:before="0" w:beforeAutospacing="0" w:after="0" w:afterAutospacing="0" w:line="360" w:lineRule="auto"/>
        <w:rPr>
          <w:rFonts w:hint="eastAsia" w:ascii="宋体" w:hAnsi="宋体" w:cs="宋体" w:eastAsiaTheme="minorEastAsia"/>
          <w:kern w:val="0"/>
          <w:sz w:val="20"/>
          <w:szCs w:val="20"/>
          <w:lang w:eastAsia="zh-CN"/>
        </w:rPr>
      </w:pPr>
      <w:r>
        <w:rPr>
          <w:rFonts w:hint="eastAsia" w:eastAsiaTheme="minorEastAsia"/>
          <w:lang w:eastAsia="zh-CN"/>
        </w:rPr>
        <w:t>马鞍山师范高等专科学校</w:t>
      </w:r>
      <w:r>
        <w:rPr>
          <w:rFonts w:hint="eastAsia"/>
        </w:rPr>
        <w:t>没有政府性基金预算</w:t>
      </w:r>
      <w:bookmarkStart w:id="0" w:name="_GoBack"/>
      <w:bookmarkEnd w:id="0"/>
      <w:r>
        <w:rPr>
          <w:rFonts w:hint="eastAsia"/>
        </w:rPr>
        <w:t>拨款收入，也没有政府性基金预算拨款安排的支出，故本表无数据</w:t>
      </w:r>
      <w:r>
        <w:rPr>
          <w:rFonts w:hint="eastAsia"/>
          <w:lang w:eastAsia="zh-CN"/>
        </w:rPr>
        <w:t>。</w:t>
      </w:r>
      <w:r>
        <w:rPr>
          <w:rFonts w:hint="eastAsia" w:ascii="宋体" w:hAnsi="宋体" w:cs="宋体" w:eastAsiaTheme="minorEastAsia"/>
          <w:kern w:val="0"/>
          <w:sz w:val="20"/>
          <w:szCs w:val="20"/>
          <w:lang w:eastAsia="zh-CN"/>
        </w:rPr>
        <w:object>
          <v:shape id="_x0000_i1048" o:spt="75" alt="" type="#_x0000_t75" style="height:170.25pt;width:782.15pt;" o:ole="t" filled="f" o:preferrelative="t" stroked="f" coordsize="21600,21600">
            <v:path/>
            <v:fill on="f" focussize="0,0"/>
            <v:stroke on="f"/>
            <v:imagedata r:id="rId24" o:title=""/>
            <o:lock v:ext="edit" aspectratio="t"/>
            <w10:wrap type="none"/>
            <w10:anchorlock/>
          </v:shape>
          <o:OLEObject Type="Embed" ProgID="Excel.Sheet.8" ShapeID="_x0000_i1048" DrawAspect="Content" ObjectID="_1468075734" r:id="rId23">
            <o:LockedField>false</o:LockedField>
          </o:OLEObject>
        </w:object>
      </w:r>
    </w:p>
    <w:p>
      <w:pPr>
        <w:pStyle w:val="4"/>
        <w:adjustRightInd w:val="0"/>
        <w:snapToGrid w:val="0"/>
        <w:spacing w:before="0" w:beforeAutospacing="0" w:after="0" w:afterAutospacing="0" w:line="360" w:lineRule="auto"/>
        <w:rPr>
          <w:rFonts w:hint="eastAsia" w:ascii="宋体" w:hAnsi="宋体" w:eastAsia="宋体" w:cs="宋体"/>
          <w:kern w:val="0"/>
          <w:sz w:val="20"/>
          <w:szCs w:val="20"/>
          <w:lang w:eastAsia="zh-CN"/>
        </w:rPr>
        <w:sectPr>
          <w:pgSz w:w="11906" w:h="16838"/>
          <w:pgMar w:top="1440" w:right="1344" w:bottom="1440" w:left="777" w:header="851" w:footer="992" w:gutter="0"/>
          <w:cols w:space="0" w:num="1"/>
          <w:rtlGutter w:val="0"/>
          <w:docGrid w:type="lines" w:linePitch="312" w:charSpace="0"/>
        </w:sectPr>
      </w:pPr>
      <w:r>
        <w:rPr>
          <w:rFonts w:hint="eastAsia" w:eastAsiaTheme="minorEastAsia"/>
          <w:lang w:eastAsia="zh-CN"/>
        </w:rPr>
        <w:t>马鞍山师范高等专科学校</w:t>
      </w:r>
      <w:r>
        <w:rPr>
          <w:rFonts w:hint="eastAsia" w:ascii="宋体" w:hAnsi="宋体" w:cs="宋体"/>
          <w:kern w:val="0"/>
          <w:sz w:val="24"/>
        </w:rPr>
        <w:t>没有国有资本经营预算拨款收入，也没有国有资本经营预算拨款安排的支出，故本表无数据</w:t>
      </w:r>
      <w:r>
        <w:rPr>
          <w:rFonts w:hint="eastAsia" w:cs="宋体"/>
          <w:kern w:val="0"/>
          <w:sz w:val="24"/>
          <w:lang w:eastAsia="zh-CN"/>
        </w:rPr>
        <w:t>。</w:t>
      </w:r>
    </w:p>
    <w:p>
      <w:pPr>
        <w:rPr>
          <w:rFonts w:hint="eastAsia" w:ascii="宋体" w:hAnsi="宋体" w:cs="宋体" w:eastAsiaTheme="minorEastAsia"/>
          <w:kern w:val="0"/>
          <w:sz w:val="20"/>
          <w:szCs w:val="20"/>
          <w:lang w:eastAsia="zh-CN"/>
        </w:rPr>
      </w:pPr>
    </w:p>
    <w:p>
      <w:pPr>
        <w:rPr>
          <w:rFonts w:hint="eastAsia" w:eastAsiaTheme="minorEastAsia"/>
          <w:lang w:eastAsia="zh-CN"/>
        </w:rPr>
      </w:pPr>
      <w:r>
        <w:rPr>
          <w:rFonts w:hint="eastAsia" w:eastAsiaTheme="minorEastAsia"/>
          <w:lang w:eastAsia="zh-CN"/>
        </w:rPr>
        <w:object>
          <v:shape id="_x0000_i1035" o:spt="75" type="#_x0000_t75" style="height:458.4pt;width:579.6pt;" o:ole="t" filled="f" o:preferrelative="t" stroked="f" coordsize="21600,21600">
            <v:path/>
            <v:fill on="f" focussize="0,0"/>
            <v:stroke on="f"/>
            <v:imagedata r:id="rId26" o:title=""/>
            <o:lock v:ext="edit" aspectratio="t"/>
            <w10:wrap type="none"/>
            <w10:anchorlock/>
          </v:shape>
          <o:OLEObject Type="Embed" ProgID="Excel.Sheet.8" ShapeID="_x0000_i1035" DrawAspect="Content" ObjectID="_1468075735" r:id="rId25">
            <o:LockedField>false</o:LockedField>
          </o:OLEObject>
        </w:object>
      </w:r>
    </w:p>
    <w:p/>
    <w:p/>
    <w:p/>
    <w:p/>
    <w:p>
      <w:pPr>
        <w:rPr>
          <w:rFonts w:hint="eastAsia" w:eastAsiaTheme="minorEastAsia"/>
          <w:lang w:eastAsia="zh-CN"/>
        </w:rPr>
      </w:pPr>
    </w:p>
    <w:p/>
    <w:p/>
    <w:p/>
    <w:p/>
    <w:p>
      <w:pPr>
        <w:pStyle w:val="4"/>
        <w:adjustRightInd w:val="0"/>
        <w:snapToGrid w:val="0"/>
        <w:spacing w:before="0" w:beforeAutospacing="0" w:after="0" w:afterAutospacing="0" w:line="400" w:lineRule="exact"/>
        <w:jc w:val="both"/>
      </w:pPr>
      <w:r>
        <w:rPr>
          <w:rFonts w:hint="eastAsia" w:eastAsiaTheme="minorEastAsia"/>
          <w:lang w:eastAsia="zh-CN"/>
        </w:rPr>
        <w:object>
          <v:shape id="_x0000_i1037" o:spt="75" type="#_x0000_t75" style="height:236.9pt;width:679.4pt;" o:ole="t" filled="f" o:preferrelative="t" stroked="f" coordsize="21600,21600">
            <v:path/>
            <v:fill on="f" focussize="0,0"/>
            <v:stroke on="f"/>
            <v:imagedata r:id="rId28" o:title=""/>
            <o:lock v:ext="edit" aspectratio="t"/>
            <w10:wrap type="none"/>
            <w10:anchorlock/>
          </v:shape>
          <o:OLEObject Type="Embed" ProgID="Excel.Sheet.8" ShapeID="_x0000_i1037" DrawAspect="Content" ObjectID="_1468075736" r:id="rId27">
            <o:LockedField>false</o:LockedField>
          </o:OLEObject>
        </w:object>
      </w:r>
    </w:p>
    <w:p/>
    <w:p>
      <w:pPr>
        <w:rPr>
          <w:rFonts w:hint="eastAsia" w:eastAsiaTheme="minorEastAsia"/>
          <w:lang w:eastAsia="zh-CN"/>
        </w:rPr>
      </w:pPr>
      <w:r>
        <w:rPr>
          <w:rFonts w:hint="eastAsia" w:eastAsiaTheme="minorEastAsia"/>
          <w:lang w:eastAsia="zh-CN"/>
        </w:rPr>
        <w:object>
          <v:shape id="_x0000_i1045" o:spt="75" type="#_x0000_t75" style="height:570.05pt;width:526.9pt;" o:ole="t" filled="f" o:preferrelative="t" stroked="f" coordsize="21600,21600">
            <v:path/>
            <v:fill on="f" focussize="0,0"/>
            <v:stroke on="f"/>
            <v:imagedata r:id="rId30" o:title=""/>
            <o:lock v:ext="edit" aspectratio="t"/>
            <w10:wrap type="none"/>
            <w10:anchorlock/>
          </v:shape>
          <o:OLEObject Type="Embed" ProgID="Excel.Sheet.8" ShapeID="_x0000_i1045" DrawAspect="Content" ObjectID="_1468075737" r:id="rId29">
            <o:LockedField>false</o:LockedField>
          </o:OLEObject>
        </w:object>
      </w:r>
    </w:p>
    <w:p/>
    <w:p/>
    <w:p/>
    <w:p/>
    <w:p/>
    <w:p/>
    <w:p>
      <w:pPr>
        <w:sectPr>
          <w:pgSz w:w="11906" w:h="16838"/>
          <w:pgMar w:top="1440" w:right="1344" w:bottom="1440" w:left="777" w:header="851" w:footer="992" w:gutter="0"/>
          <w:cols w:space="0" w:num="1"/>
          <w:rtlGutter w:val="0"/>
          <w:docGrid w:type="lines" w:linePitch="312" w:charSpace="0"/>
        </w:sectPr>
      </w:pPr>
    </w:p>
    <w:p>
      <w:pPr>
        <w:rPr>
          <w:sz w:val="20"/>
          <w:szCs w:val="20"/>
        </w:rPr>
      </w:pPr>
      <w:r>
        <w:rPr>
          <w:rFonts w:hint="eastAsia" w:eastAsiaTheme="minorEastAsia"/>
          <w:lang w:eastAsia="zh-CN"/>
        </w:rPr>
        <w:object>
          <v:shape id="_x0000_i1038" o:spt="75" alt="" type="#_x0000_t75" style="height:171.1pt;width:508.4pt;" o:ole="t" filled="f" o:preferrelative="t" stroked="f" coordsize="21600,21600">
            <v:path/>
            <v:fill on="f" focussize="0,0"/>
            <v:stroke on="f"/>
            <v:imagedata r:id="rId32" o:title=""/>
            <o:lock v:ext="edit" aspectratio="t"/>
            <w10:wrap type="none"/>
            <w10:anchorlock/>
          </v:shape>
          <o:OLEObject Type="Embed" ProgID="Excel.Sheet.8" ShapeID="_x0000_i1038" DrawAspect="Content" ObjectID="_1468075738" r:id="rId31">
            <o:LockedField>false</o:LockedField>
          </o:OLEObject>
        </w:object>
      </w:r>
      <w:r>
        <w:rPr>
          <w:rFonts w:hint="eastAsia"/>
          <w:sz w:val="20"/>
          <w:szCs w:val="20"/>
          <w:lang w:val="en-US" w:eastAsia="zh-CN"/>
        </w:rPr>
        <w:t xml:space="preserve">      </w:t>
      </w:r>
    </w:p>
    <w:p>
      <w:pPr>
        <w:pStyle w:val="4"/>
        <w:adjustRightInd w:val="0"/>
        <w:snapToGrid w:val="0"/>
        <w:spacing w:before="0" w:beforeAutospacing="0" w:after="0" w:afterAutospacing="0" w:line="400" w:lineRule="exact"/>
        <w:jc w:val="both"/>
      </w:pPr>
      <w:r>
        <w:rPr>
          <w:rFonts w:hint="eastAsia"/>
          <w:lang w:eastAsia="zh-CN"/>
        </w:rPr>
        <w:t>马鞍山师范高等专科学校</w:t>
      </w:r>
      <w:r>
        <w:rPr>
          <w:rFonts w:hint="eastAsia"/>
        </w:rPr>
        <w:t>没有安排政府购买服务支出，故本表无数据。</w:t>
      </w: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600" w:lineRule="exact"/>
        <w:jc w:val="center"/>
        <w:rPr>
          <w:rFonts w:ascii="黑体" w:hAnsi="黑体" w:eastAsia="黑体"/>
          <w:bCs/>
          <w:sz w:val="36"/>
          <w:szCs w:val="36"/>
        </w:rPr>
        <w:sectPr>
          <w:pgSz w:w="11906" w:h="16838"/>
          <w:pgMar w:top="1440" w:right="1344" w:bottom="1440" w:left="777" w:header="851" w:footer="992" w:gutter="0"/>
          <w:cols w:space="425" w:num="1"/>
          <w:docGrid w:type="linesAndChars" w:linePitch="312" w:charSpace="0"/>
        </w:sectPr>
      </w:pPr>
    </w:p>
    <w:p>
      <w:pPr>
        <w:pStyle w:val="4"/>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 xml:space="preserve">第三部分 </w:t>
      </w:r>
      <w:r>
        <w:rPr>
          <w:rFonts w:hint="eastAsia" w:ascii="黑体" w:hAnsi="黑体" w:eastAsia="黑体"/>
          <w:bCs/>
          <w:sz w:val="36"/>
          <w:szCs w:val="36"/>
          <w:lang w:eastAsia="zh-CN"/>
        </w:rPr>
        <w:t>2022</w:t>
      </w:r>
      <w:r>
        <w:rPr>
          <w:rFonts w:hint="eastAsia" w:ascii="黑体" w:hAnsi="黑体" w:eastAsia="黑体"/>
          <w:bCs/>
          <w:sz w:val="36"/>
          <w:szCs w:val="36"/>
        </w:rPr>
        <w:t>年</w:t>
      </w:r>
      <w:r>
        <w:rPr>
          <w:rFonts w:hint="eastAsia" w:ascii="黑体" w:hAnsi="黑体" w:eastAsia="黑体"/>
          <w:bCs/>
          <w:sz w:val="36"/>
          <w:szCs w:val="36"/>
          <w:lang w:eastAsia="zh-CN"/>
        </w:rPr>
        <w:t>单位</w:t>
      </w:r>
      <w:r>
        <w:rPr>
          <w:rFonts w:hint="eastAsia" w:ascii="黑体" w:hAnsi="黑体" w:eastAsia="黑体"/>
          <w:bCs/>
          <w:sz w:val="36"/>
          <w:szCs w:val="36"/>
        </w:rPr>
        <w:t>预算情况说明</w:t>
      </w:r>
    </w:p>
    <w:p>
      <w:pPr>
        <w:pStyle w:val="4"/>
        <w:adjustRightInd w:val="0"/>
        <w:snapToGrid w:val="0"/>
        <w:spacing w:before="0" w:beforeAutospacing="0" w:after="0" w:afterAutospacing="0" w:line="600" w:lineRule="exact"/>
        <w:rPr>
          <w:rFonts w:ascii="黑体" w:hAnsi="黑体" w:eastAsia="黑体"/>
          <w:bCs/>
          <w:sz w:val="32"/>
          <w:szCs w:val="32"/>
        </w:rPr>
      </w:pPr>
    </w:p>
    <w:p>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rPr>
      </w:pPr>
      <w:r>
        <w:rPr>
          <w:rFonts w:hint="eastAsia" w:ascii="黑体" w:hAnsi="仿宋" w:eastAsia="黑体"/>
          <w:color w:val="000000" w:themeColor="text1"/>
          <w:sz w:val="32"/>
          <w:szCs w:val="32"/>
        </w:rPr>
        <w:t>一、关于</w:t>
      </w:r>
      <w:r>
        <w:rPr>
          <w:rFonts w:hint="eastAsia" w:ascii="黑体" w:hAnsi="仿宋" w:eastAsia="黑体"/>
          <w:color w:val="000000" w:themeColor="text1"/>
          <w:sz w:val="32"/>
          <w:szCs w:val="32"/>
          <w:lang w:eastAsia="zh-CN"/>
        </w:rPr>
        <w:t>2022</w:t>
      </w:r>
      <w:r>
        <w:rPr>
          <w:rFonts w:hint="eastAsia" w:ascii="黑体" w:hAnsi="仿宋" w:eastAsia="黑体"/>
          <w:color w:val="000000" w:themeColor="text1"/>
          <w:sz w:val="32"/>
          <w:szCs w:val="32"/>
        </w:rPr>
        <w:t>年收支总表的说明</w:t>
      </w:r>
    </w:p>
    <w:p>
      <w:pPr>
        <w:pStyle w:val="4"/>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w:t>
      </w:r>
      <w:r>
        <w:rPr>
          <w:rFonts w:hint="eastAsia" w:ascii="仿宋_GB2312" w:hAnsi="仿宋" w:eastAsia="仿宋_GB2312"/>
          <w:sz w:val="32"/>
          <w:szCs w:val="32"/>
          <w:lang w:eastAsia="zh-CN"/>
        </w:rPr>
        <w:t>马鞍山师范高等专科学校</w:t>
      </w:r>
      <w:r>
        <w:rPr>
          <w:rFonts w:hint="eastAsia" w:ascii="仿宋_GB2312" w:hAnsi="仿宋" w:eastAsia="仿宋_GB2312"/>
          <w:sz w:val="32"/>
          <w:szCs w:val="32"/>
        </w:rPr>
        <w:t>所有收入和支出均纳入</w:t>
      </w:r>
      <w:r>
        <w:rPr>
          <w:rFonts w:hint="eastAsia" w:ascii="仿宋_GB2312" w:hAnsi="仿宋" w:eastAsia="仿宋_GB2312"/>
          <w:sz w:val="32"/>
          <w:szCs w:val="32"/>
          <w:u w:val="none"/>
        </w:rPr>
        <w:t>单位</w:t>
      </w:r>
      <w:r>
        <w:rPr>
          <w:rFonts w:hint="eastAsia" w:ascii="仿宋_GB2312" w:hAnsi="仿宋" w:eastAsia="仿宋_GB2312"/>
          <w:sz w:val="32"/>
          <w:szCs w:val="32"/>
        </w:rPr>
        <w:t>预算管理。</w:t>
      </w:r>
      <w:r>
        <w:rPr>
          <w:rFonts w:hint="eastAsia" w:ascii="仿宋_GB2312" w:hAnsi="仿宋" w:eastAsia="仿宋_GB2312"/>
          <w:sz w:val="32"/>
          <w:szCs w:val="32"/>
          <w:lang w:eastAsia="zh-CN"/>
        </w:rPr>
        <w:t>马鞍山师范高等专科学校2022</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13969.4</w:t>
      </w:r>
      <w:r>
        <w:rPr>
          <w:rFonts w:hint="eastAsia" w:ascii="仿宋_GB2312" w:hAnsi="仿宋" w:eastAsia="仿宋_GB2312"/>
          <w:sz w:val="32"/>
          <w:szCs w:val="32"/>
        </w:rPr>
        <w:t>万元，收入包括一般公共预算拨款收入、财政专户管理资金收入，支出包括：</w:t>
      </w:r>
      <w:r>
        <w:rPr>
          <w:rFonts w:hint="eastAsia" w:ascii="仿宋_GB2312" w:hAnsi="仿宋" w:eastAsia="仿宋_GB2312"/>
          <w:sz w:val="32"/>
          <w:szCs w:val="32"/>
          <w:lang w:eastAsia="zh-CN"/>
        </w:rPr>
        <w:t>教育支出</w:t>
      </w:r>
      <w:r>
        <w:rPr>
          <w:rFonts w:hint="eastAsia" w:ascii="仿宋_GB2312" w:hAnsi="仿宋" w:eastAsia="仿宋_GB2312"/>
          <w:sz w:val="32"/>
          <w:szCs w:val="32"/>
        </w:rPr>
        <w:t>、社会保障和就业支出、卫生健康支出、住房保障支出。</w:t>
      </w:r>
    </w:p>
    <w:p>
      <w:pPr>
        <w:pStyle w:val="4"/>
        <w:adjustRightInd w:val="0"/>
        <w:snapToGrid w:val="0"/>
        <w:spacing w:before="0" w:beforeAutospacing="0" w:after="0" w:afterAutospacing="0" w:line="600" w:lineRule="exact"/>
        <w:ind w:firstLine="627" w:firstLineChars="196"/>
        <w:rPr>
          <w:rFonts w:ascii="黑体" w:hAnsi="仿宋" w:eastAsia="黑体"/>
          <w:color w:val="000000" w:themeColor="text1"/>
          <w:sz w:val="32"/>
          <w:szCs w:val="32"/>
        </w:rPr>
      </w:pPr>
      <w:r>
        <w:rPr>
          <w:rFonts w:hint="eastAsia" w:ascii="黑体" w:hAnsi="仿宋" w:eastAsia="黑体"/>
          <w:color w:val="000000" w:themeColor="text1"/>
          <w:sz w:val="32"/>
          <w:szCs w:val="32"/>
        </w:rPr>
        <w:t>二、关于</w:t>
      </w:r>
      <w:r>
        <w:rPr>
          <w:rFonts w:hint="eastAsia" w:ascii="黑体" w:hAnsi="仿宋" w:eastAsia="黑体"/>
          <w:color w:val="000000" w:themeColor="text1"/>
          <w:sz w:val="32"/>
          <w:szCs w:val="32"/>
          <w:lang w:eastAsia="zh-CN"/>
        </w:rPr>
        <w:t>2022</w:t>
      </w:r>
      <w:r>
        <w:rPr>
          <w:rFonts w:hint="eastAsia" w:ascii="黑体" w:hAnsi="仿宋" w:eastAsia="黑体"/>
          <w:color w:val="000000" w:themeColor="text1"/>
          <w:sz w:val="32"/>
          <w:szCs w:val="32"/>
        </w:rPr>
        <w:t>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lang w:eastAsia="zh-CN"/>
        </w:rPr>
        <w:t>马鞍山师范高等专科学校</w:t>
      </w:r>
      <w:r>
        <w:rPr>
          <w:rFonts w:hint="eastAsia" w:ascii="仿宋_GB2312" w:hAnsi="仿宋" w:eastAsia="仿宋_GB2312"/>
          <w:sz w:val="32"/>
          <w:szCs w:val="32"/>
          <w:lang w:eastAsia="zh-CN"/>
        </w:rPr>
        <w:t>2022</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13969.4</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13207.6</w:t>
      </w:r>
      <w:r>
        <w:rPr>
          <w:rFonts w:hint="eastAsia" w:ascii="仿宋_GB2312" w:hAnsi="仿宋" w:eastAsia="仿宋_GB2312"/>
          <w:sz w:val="32"/>
          <w:szCs w:val="32"/>
        </w:rPr>
        <w:t>万元，上年结转结余</w:t>
      </w:r>
      <w:r>
        <w:rPr>
          <w:rFonts w:hint="eastAsia" w:ascii="仿宋_GB2312" w:hAnsi="仿宋" w:eastAsia="仿宋_GB2312"/>
          <w:sz w:val="32"/>
          <w:szCs w:val="32"/>
          <w:lang w:val="en-US" w:eastAsia="zh-CN"/>
        </w:rPr>
        <w:t>761.8</w:t>
      </w:r>
      <w:r>
        <w:rPr>
          <w:rFonts w:hint="eastAsia" w:ascii="仿宋_GB2312" w:hAnsi="仿宋" w:eastAsia="仿宋_GB2312"/>
          <w:sz w:val="32"/>
          <w:szCs w:val="32"/>
        </w:rPr>
        <w:t>万元。</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（一）本年收入</w:t>
      </w:r>
      <w:r>
        <w:rPr>
          <w:rFonts w:hint="eastAsia" w:ascii="仿宋_GB2312" w:hAnsi="仿宋" w:eastAsia="仿宋_GB2312"/>
          <w:sz w:val="32"/>
          <w:szCs w:val="32"/>
          <w:lang w:val="en-US" w:eastAsia="zh-CN"/>
        </w:rPr>
        <w:t>13207.6</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9197.9</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69.6</w:t>
      </w:r>
      <w:r>
        <w:rPr>
          <w:rFonts w:hint="eastAsia" w:ascii="仿宋_GB2312" w:hAnsi="仿宋" w:eastAsia="仿宋_GB2312"/>
          <w:sz w:val="32"/>
          <w:szCs w:val="32"/>
        </w:rPr>
        <w:t>%，比202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4566.74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98.6</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计算口径发生变化，</w:t>
      </w:r>
      <w:r>
        <w:rPr>
          <w:rFonts w:hint="eastAsia" w:ascii="仿宋_GB2312" w:hAnsi="仿宋" w:eastAsia="仿宋_GB2312"/>
          <w:sz w:val="32"/>
          <w:szCs w:val="32"/>
          <w:lang w:val="en-US" w:eastAsia="zh-CN"/>
        </w:rPr>
        <w:t>2022</w:t>
      </w:r>
      <w:r>
        <w:rPr>
          <w:rFonts w:hint="eastAsia" w:ascii="仿宋_GB2312" w:hAnsi="仿宋" w:eastAsia="仿宋_GB2312"/>
          <w:sz w:val="32"/>
          <w:szCs w:val="32"/>
          <w:lang w:eastAsia="zh-CN"/>
        </w:rPr>
        <w:t>年的收入含有中央及省级转移支付收入</w:t>
      </w:r>
      <w:r>
        <w:rPr>
          <w:rFonts w:hint="eastAsia" w:ascii="仿宋_GB2312" w:hAnsi="仿宋" w:eastAsia="仿宋_GB2312"/>
          <w:sz w:val="32"/>
          <w:szCs w:val="32"/>
        </w:rPr>
        <w:t>；财政专户管理资金收入</w:t>
      </w:r>
      <w:r>
        <w:rPr>
          <w:rFonts w:hint="eastAsia" w:ascii="仿宋_GB2312" w:hAnsi="仿宋" w:eastAsia="仿宋_GB2312"/>
          <w:sz w:val="32"/>
          <w:szCs w:val="32"/>
          <w:lang w:val="en-US" w:eastAsia="zh-CN"/>
        </w:rPr>
        <w:t>4009.7</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30.4</w:t>
      </w:r>
      <w:r>
        <w:rPr>
          <w:rFonts w:hint="eastAsia" w:ascii="仿宋_GB2312" w:hAnsi="仿宋" w:eastAsia="仿宋_GB2312"/>
          <w:sz w:val="32"/>
          <w:szCs w:val="32"/>
        </w:rPr>
        <w:t>%，比202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134.47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3.5</w:t>
      </w:r>
      <w:r>
        <w:rPr>
          <w:rFonts w:hint="eastAsia" w:ascii="仿宋_GB2312" w:hAnsi="仿宋" w:eastAsia="仿宋_GB2312"/>
          <w:sz w:val="32"/>
          <w:szCs w:val="32"/>
        </w:rPr>
        <w:t>%，增长原因主要是学校招生数有所增加。</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（二）上年结转结余</w:t>
      </w:r>
      <w:r>
        <w:rPr>
          <w:rFonts w:hint="eastAsia" w:ascii="仿宋_GB2312" w:hAnsi="仿宋" w:eastAsia="仿宋_GB2312"/>
          <w:sz w:val="32"/>
          <w:szCs w:val="32"/>
          <w:lang w:val="en-US" w:eastAsia="zh-CN"/>
        </w:rPr>
        <w:t>761.8</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761.8</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%，比202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761.8</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2021年部分政府采购项目需在寒假施工以及部分教学楼改造尾款将于2022年支付</w:t>
      </w:r>
      <w:r>
        <w:rPr>
          <w:rFonts w:hint="eastAsia" w:ascii="仿宋_GB2312" w:hAnsi="仿宋" w:eastAsia="仿宋_GB2312"/>
          <w:sz w:val="32"/>
          <w:szCs w:val="32"/>
        </w:rPr>
        <w:t>。</w:t>
      </w:r>
    </w:p>
    <w:p>
      <w:pPr>
        <w:adjustRightInd w:val="0"/>
        <w:snapToGrid w:val="0"/>
        <w:spacing w:line="600" w:lineRule="exact"/>
        <w:ind w:firstLine="640" w:firstLineChars="200"/>
        <w:rPr>
          <w:rFonts w:ascii="黑体" w:hAnsi="仿宋" w:eastAsia="黑体" w:cs="宋体"/>
          <w:color w:val="000000" w:themeColor="text1"/>
          <w:kern w:val="0"/>
          <w:sz w:val="32"/>
          <w:szCs w:val="32"/>
        </w:rPr>
      </w:pPr>
      <w:r>
        <w:rPr>
          <w:rFonts w:hint="eastAsia" w:ascii="黑体" w:hAnsi="仿宋" w:eastAsia="黑体" w:cs="宋体"/>
          <w:color w:val="000000" w:themeColor="text1"/>
          <w:kern w:val="0"/>
          <w:sz w:val="32"/>
          <w:szCs w:val="32"/>
        </w:rPr>
        <w:t>三、关于</w:t>
      </w:r>
      <w:r>
        <w:rPr>
          <w:rFonts w:hint="eastAsia" w:ascii="黑体" w:hAnsi="仿宋" w:eastAsia="黑体" w:cs="宋体"/>
          <w:color w:val="000000" w:themeColor="text1"/>
          <w:kern w:val="0"/>
          <w:sz w:val="32"/>
          <w:szCs w:val="32"/>
          <w:lang w:eastAsia="zh-CN"/>
        </w:rPr>
        <w:t>2022</w:t>
      </w:r>
      <w:r>
        <w:rPr>
          <w:rFonts w:hint="eastAsia" w:ascii="黑体" w:hAnsi="仿宋" w:eastAsia="黑体" w:cs="宋体"/>
          <w:color w:val="000000" w:themeColor="text1"/>
          <w:kern w:val="0"/>
          <w:sz w:val="32"/>
          <w:szCs w:val="32"/>
        </w:rPr>
        <w:t>年支出总表的说明</w:t>
      </w:r>
    </w:p>
    <w:p>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马鞍山师范高等专科学校2022</w:t>
      </w:r>
      <w:r>
        <w:rPr>
          <w:rFonts w:hint="eastAsia" w:ascii="仿宋_GB2312" w:hAnsi="仿宋" w:eastAsia="仿宋_GB2312" w:cs="Times New Roman"/>
          <w:sz w:val="32"/>
          <w:szCs w:val="32"/>
        </w:rPr>
        <w:t>年支出预算</w:t>
      </w:r>
      <w:r>
        <w:rPr>
          <w:rFonts w:hint="eastAsia" w:ascii="仿宋_GB2312" w:hAnsi="仿宋" w:eastAsia="仿宋_GB2312" w:cs="Times New Roman"/>
          <w:sz w:val="32"/>
          <w:szCs w:val="32"/>
          <w:lang w:val="en-US" w:eastAsia="zh-CN"/>
        </w:rPr>
        <w:t>13969.4</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2021</w:t>
      </w:r>
      <w:r>
        <w:rPr>
          <w:rFonts w:hint="eastAsia" w:ascii="仿宋_GB2312" w:hAnsi="仿宋" w:eastAsia="仿宋_GB2312" w:cs="Times New Roman"/>
          <w:sz w:val="32"/>
          <w:szCs w:val="32"/>
        </w:rPr>
        <w:t>年预算增加</w:t>
      </w:r>
      <w:r>
        <w:rPr>
          <w:rFonts w:hint="eastAsia" w:ascii="仿宋_GB2312" w:hAnsi="仿宋" w:eastAsia="仿宋_GB2312" w:cs="Times New Roman"/>
          <w:sz w:val="32"/>
          <w:szCs w:val="32"/>
          <w:lang w:val="en-US" w:eastAsia="zh-CN"/>
        </w:rPr>
        <w:t>5463.01</w:t>
      </w:r>
      <w:r>
        <w:rPr>
          <w:rFonts w:hint="eastAsia" w:ascii="仿宋_GB2312" w:hAnsi="仿宋" w:eastAsia="仿宋_GB2312" w:cs="Times New Roman"/>
          <w:sz w:val="32"/>
          <w:szCs w:val="32"/>
        </w:rPr>
        <w:t>万元，增长</w:t>
      </w:r>
      <w:r>
        <w:rPr>
          <w:rFonts w:hint="eastAsia" w:ascii="仿宋_GB2312" w:hAnsi="仿宋" w:eastAsia="仿宋_GB2312" w:cs="Times New Roman"/>
          <w:sz w:val="32"/>
          <w:szCs w:val="32"/>
          <w:lang w:val="en-US" w:eastAsia="zh-CN"/>
        </w:rPr>
        <w:t>64.2</w:t>
      </w:r>
      <w:r>
        <w:rPr>
          <w:rFonts w:hint="eastAsia" w:ascii="仿宋_GB2312" w:hAnsi="仿宋" w:eastAsia="仿宋_GB2312" w:cs="Times New Roman"/>
          <w:sz w:val="32"/>
          <w:szCs w:val="32"/>
        </w:rPr>
        <w:t>%，增长原因主要是计算口径发生变化，本年度预算支出中含有财政转移支付资金。其中，基本支出</w:t>
      </w:r>
      <w:r>
        <w:rPr>
          <w:rFonts w:hint="eastAsia" w:ascii="仿宋_GB2312" w:hAnsi="仿宋" w:eastAsia="仿宋_GB2312" w:cs="Times New Roman"/>
          <w:sz w:val="32"/>
          <w:szCs w:val="32"/>
          <w:lang w:val="en-US" w:eastAsia="zh-CN"/>
        </w:rPr>
        <w:t>8223.3</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58.9</w:t>
      </w:r>
      <w:r>
        <w:rPr>
          <w:rFonts w:hint="eastAsia" w:ascii="仿宋_GB2312" w:hAnsi="仿宋" w:eastAsia="仿宋_GB2312" w:cs="Times New Roman"/>
          <w:sz w:val="32"/>
          <w:szCs w:val="32"/>
        </w:rPr>
        <w:t>%，主要用于保障机构日常运转、完成日常工作任务</w:t>
      </w:r>
      <w:r>
        <w:rPr>
          <w:rFonts w:hint="eastAsia" w:ascii="仿宋_GB2312" w:hAnsi="仿宋" w:eastAsia="仿宋_GB2312" w:cs="Times New Roman"/>
          <w:sz w:val="32"/>
          <w:szCs w:val="32"/>
          <w:lang w:eastAsia="zh-CN"/>
        </w:rPr>
        <w:t>等</w:t>
      </w:r>
      <w:r>
        <w:rPr>
          <w:rFonts w:hint="eastAsia" w:ascii="仿宋_GB2312" w:hAnsi="仿宋" w:eastAsia="仿宋_GB2312" w:cs="Times New Roman"/>
          <w:sz w:val="32"/>
          <w:szCs w:val="32"/>
        </w:rPr>
        <w:t>；项目支出</w:t>
      </w:r>
      <w:r>
        <w:rPr>
          <w:rFonts w:hint="eastAsia" w:ascii="仿宋_GB2312" w:hAnsi="仿宋" w:eastAsia="仿宋_GB2312" w:cs="Times New Roman"/>
          <w:sz w:val="32"/>
          <w:szCs w:val="32"/>
          <w:lang w:val="en-US" w:eastAsia="zh-CN"/>
        </w:rPr>
        <w:t>5746.1</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41.1</w:t>
      </w:r>
      <w:r>
        <w:rPr>
          <w:rFonts w:hint="eastAsia" w:ascii="仿宋_GB2312" w:hAnsi="仿宋" w:eastAsia="仿宋_GB2312" w:cs="Times New Roman"/>
          <w:sz w:val="32"/>
          <w:szCs w:val="32"/>
        </w:rPr>
        <w:t>%，主要用于</w:t>
      </w:r>
      <w:r>
        <w:rPr>
          <w:rFonts w:hint="eastAsia" w:ascii="仿宋_GB2312" w:hAnsi="仿宋" w:eastAsia="仿宋_GB2312" w:cs="Times New Roman"/>
          <w:sz w:val="32"/>
          <w:szCs w:val="32"/>
          <w:lang w:eastAsia="zh-CN"/>
        </w:rPr>
        <w:t>加强专业建设、完成升本工作</w:t>
      </w:r>
      <w:r>
        <w:rPr>
          <w:rFonts w:hint="eastAsia" w:ascii="仿宋_GB2312" w:hAnsi="仿宋" w:eastAsia="仿宋_GB2312" w:cs="Times New Roman"/>
          <w:sz w:val="32"/>
          <w:szCs w:val="32"/>
        </w:rPr>
        <w:t>等。</w:t>
      </w:r>
    </w:p>
    <w:p>
      <w:pPr>
        <w:adjustRightInd w:val="0"/>
        <w:snapToGrid w:val="0"/>
        <w:spacing w:line="600" w:lineRule="exact"/>
        <w:ind w:firstLine="640" w:firstLineChars="200"/>
        <w:rPr>
          <w:rFonts w:ascii="黑体" w:hAnsi="仿宋" w:eastAsia="黑体" w:cs="宋体"/>
          <w:color w:val="000000" w:themeColor="text1"/>
          <w:kern w:val="0"/>
          <w:sz w:val="32"/>
          <w:szCs w:val="32"/>
        </w:rPr>
      </w:pPr>
      <w:r>
        <w:rPr>
          <w:rFonts w:hint="eastAsia" w:ascii="黑体" w:hAnsi="仿宋" w:eastAsia="黑体" w:cs="宋体"/>
          <w:color w:val="000000" w:themeColor="text1"/>
          <w:kern w:val="0"/>
          <w:sz w:val="32"/>
          <w:szCs w:val="32"/>
        </w:rPr>
        <w:t>四、关于</w:t>
      </w:r>
      <w:r>
        <w:rPr>
          <w:rFonts w:hint="eastAsia" w:ascii="黑体" w:hAnsi="仿宋" w:eastAsia="黑体" w:cs="宋体"/>
          <w:color w:val="000000" w:themeColor="text1"/>
          <w:kern w:val="0"/>
          <w:sz w:val="32"/>
          <w:szCs w:val="32"/>
          <w:lang w:eastAsia="zh-CN"/>
        </w:rPr>
        <w:t>2022</w:t>
      </w:r>
      <w:r>
        <w:rPr>
          <w:rFonts w:hint="eastAsia" w:ascii="黑体" w:hAnsi="仿宋" w:eastAsia="黑体" w:cs="宋体"/>
          <w:color w:val="000000" w:themeColor="text1"/>
          <w:kern w:val="0"/>
          <w:sz w:val="32"/>
          <w:szCs w:val="32"/>
        </w:rPr>
        <w:t>年财政拨款收支总表的说明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lang w:eastAsia="zh-CN"/>
        </w:rPr>
        <w:t>马鞍山师范高等专科学校2022</w:t>
      </w:r>
      <w:r>
        <w:rPr>
          <w:rFonts w:hint="eastAsia" w:ascii="仿宋_GB2312" w:hAnsi="仿宋" w:eastAsia="仿宋_GB2312" w:cs="Times New Roman"/>
          <w:kern w:val="2"/>
          <w:sz w:val="32"/>
          <w:szCs w:val="32"/>
        </w:rPr>
        <w:t>年财政拨款收支预算</w:t>
      </w:r>
      <w:r>
        <w:rPr>
          <w:rFonts w:hint="eastAsia" w:ascii="仿宋_GB2312" w:hAnsi="仿宋" w:eastAsia="仿宋_GB2312" w:cs="Times New Roman"/>
          <w:kern w:val="2"/>
          <w:sz w:val="32"/>
          <w:szCs w:val="32"/>
          <w:lang w:val="en-US" w:eastAsia="zh-CN"/>
        </w:rPr>
        <w:t>9959.7</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cs="Times New Roman"/>
          <w:kern w:val="2"/>
          <w:sz w:val="32"/>
          <w:szCs w:val="32"/>
          <w:lang w:val="en-US" w:eastAsia="zh-CN"/>
        </w:rPr>
        <w:t>9959.7</w:t>
      </w:r>
      <w:r>
        <w:rPr>
          <w:rFonts w:hint="eastAsia" w:ascii="仿宋_GB2312" w:hAnsi="仿宋" w:eastAsia="仿宋_GB2312" w:cs="Times New Roman"/>
          <w:kern w:val="2"/>
          <w:sz w:val="32"/>
          <w:szCs w:val="32"/>
        </w:rPr>
        <w:t>万元；按资金年度分为：本年财政拨款收入</w:t>
      </w:r>
      <w:r>
        <w:rPr>
          <w:rFonts w:hint="eastAsia" w:ascii="仿宋_GB2312" w:hAnsi="仿宋" w:eastAsia="仿宋_GB2312" w:cs="Times New Roman"/>
          <w:kern w:val="2"/>
          <w:sz w:val="32"/>
          <w:szCs w:val="32"/>
          <w:lang w:val="en-US" w:eastAsia="zh-CN"/>
        </w:rPr>
        <w:t>9197.9</w:t>
      </w:r>
      <w:r>
        <w:rPr>
          <w:rFonts w:hint="eastAsia" w:ascii="仿宋_GB2312" w:hAnsi="仿宋" w:eastAsia="仿宋_GB2312" w:cs="Times New Roman"/>
          <w:kern w:val="2"/>
          <w:sz w:val="32"/>
          <w:szCs w:val="32"/>
        </w:rPr>
        <w:t>万元，上年结转</w:t>
      </w:r>
      <w:r>
        <w:rPr>
          <w:rFonts w:hint="eastAsia" w:ascii="仿宋_GB2312" w:hAnsi="仿宋" w:eastAsia="仿宋_GB2312" w:cs="Times New Roman"/>
          <w:kern w:val="2"/>
          <w:sz w:val="32"/>
          <w:szCs w:val="32"/>
          <w:lang w:eastAsia="zh-CN"/>
        </w:rPr>
        <w:t>收入</w:t>
      </w:r>
      <w:r>
        <w:rPr>
          <w:rFonts w:hint="eastAsia" w:ascii="仿宋_GB2312" w:hAnsi="仿宋" w:eastAsia="仿宋_GB2312" w:cs="Times New Roman"/>
          <w:kern w:val="2"/>
          <w:sz w:val="32"/>
          <w:szCs w:val="32"/>
          <w:lang w:val="en-US" w:eastAsia="zh-CN"/>
        </w:rPr>
        <w:t>761.8</w:t>
      </w:r>
      <w:r>
        <w:rPr>
          <w:rFonts w:hint="eastAsia" w:ascii="仿宋_GB2312" w:hAnsi="仿宋" w:eastAsia="仿宋_GB2312" w:cs="Times New Roman"/>
          <w:kern w:val="2"/>
          <w:sz w:val="32"/>
          <w:szCs w:val="32"/>
        </w:rPr>
        <w:t>万元。支出按功能分类分为：</w:t>
      </w:r>
      <w:r>
        <w:rPr>
          <w:rFonts w:hint="eastAsia" w:ascii="仿宋_GB2312" w:hAnsi="仿宋" w:eastAsia="仿宋_GB2312" w:cs="Times New Roman"/>
          <w:kern w:val="2"/>
          <w:sz w:val="32"/>
          <w:szCs w:val="32"/>
          <w:lang w:eastAsia="zh-CN"/>
        </w:rPr>
        <w:t>教育</w:t>
      </w:r>
      <w:r>
        <w:rPr>
          <w:rFonts w:hint="eastAsia" w:ascii="仿宋_GB2312" w:hAnsi="仿宋" w:eastAsia="仿宋_GB2312" w:cs="Times New Roman"/>
          <w:kern w:val="2"/>
          <w:sz w:val="32"/>
          <w:szCs w:val="32"/>
        </w:rPr>
        <w:t>支出</w:t>
      </w:r>
      <w:r>
        <w:rPr>
          <w:rFonts w:hint="eastAsia" w:ascii="仿宋_GB2312" w:hAnsi="仿宋" w:eastAsia="仿宋_GB2312" w:cs="Times New Roman"/>
          <w:kern w:val="2"/>
          <w:sz w:val="32"/>
          <w:szCs w:val="32"/>
          <w:lang w:val="en-US" w:eastAsia="zh-CN"/>
        </w:rPr>
        <w:t>8476.4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85.1</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675.6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6.8</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327.7</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3.3</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480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4.8</w:t>
      </w:r>
      <w:r>
        <w:rPr>
          <w:rFonts w:hint="eastAsia" w:ascii="仿宋_GB2312" w:hAnsi="仿宋" w:eastAsia="仿宋_GB2312" w:cs="Times New Roman"/>
          <w:kern w:val="2"/>
          <w:sz w:val="32"/>
          <w:szCs w:val="32"/>
        </w:rPr>
        <w:t>%。</w:t>
      </w:r>
    </w:p>
    <w:p>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rPr>
      </w:pPr>
      <w:r>
        <w:rPr>
          <w:rFonts w:hint="eastAsia" w:ascii="黑体" w:hAnsi="仿宋" w:eastAsia="黑体"/>
          <w:color w:val="000000" w:themeColor="text1"/>
          <w:sz w:val="32"/>
          <w:szCs w:val="32"/>
        </w:rPr>
        <w:t>五、关于</w:t>
      </w:r>
      <w:r>
        <w:rPr>
          <w:rFonts w:hint="eastAsia" w:ascii="黑体" w:hAnsi="仿宋" w:eastAsia="黑体"/>
          <w:color w:val="000000" w:themeColor="text1"/>
          <w:sz w:val="32"/>
          <w:szCs w:val="32"/>
          <w:lang w:eastAsia="zh-CN"/>
        </w:rPr>
        <w:t>2022</w:t>
      </w:r>
      <w:r>
        <w:rPr>
          <w:rFonts w:hint="eastAsia" w:ascii="黑体" w:hAnsi="仿宋" w:eastAsia="黑体"/>
          <w:color w:val="000000" w:themeColor="text1"/>
          <w:sz w:val="32"/>
          <w:szCs w:val="32"/>
        </w:rPr>
        <w:t>年一般公共预算支出表的说明</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lang w:eastAsia="zh-CN"/>
        </w:rPr>
        <w:t>马鞍山师范高等专科学校2022</w:t>
      </w:r>
      <w:r>
        <w:rPr>
          <w:rFonts w:hint="eastAsia" w:ascii="仿宋_GB2312" w:hAnsi="仿宋" w:eastAsia="仿宋_GB2312" w:cs="Times New Roman"/>
          <w:kern w:val="2"/>
          <w:sz w:val="32"/>
          <w:szCs w:val="32"/>
        </w:rPr>
        <w:t>年一般公共预算支出</w:t>
      </w:r>
      <w:r>
        <w:rPr>
          <w:rFonts w:hint="eastAsia" w:ascii="仿宋_GB2312" w:hAnsi="仿宋" w:eastAsia="仿宋_GB2312" w:cs="Times New Roman"/>
          <w:kern w:val="2"/>
          <w:sz w:val="32"/>
          <w:szCs w:val="32"/>
          <w:lang w:val="en-US" w:eastAsia="zh-CN"/>
        </w:rPr>
        <w:t>9959.7</w:t>
      </w:r>
      <w:r>
        <w:rPr>
          <w:rFonts w:hint="eastAsia" w:ascii="仿宋_GB2312" w:hAnsi="仿宋" w:eastAsia="仿宋_GB2312" w:cs="Times New Roman"/>
          <w:kern w:val="2"/>
          <w:sz w:val="32"/>
          <w:szCs w:val="32"/>
        </w:rPr>
        <w:t>万元，比</w:t>
      </w:r>
      <w:r>
        <w:rPr>
          <w:rFonts w:hint="eastAsia" w:ascii="仿宋_GB2312" w:hAnsi="仿宋" w:eastAsia="仿宋_GB2312" w:cs="Times New Roman"/>
          <w:kern w:val="2"/>
          <w:sz w:val="32"/>
          <w:szCs w:val="32"/>
          <w:lang w:eastAsia="zh-CN"/>
        </w:rPr>
        <w:t>2021</w:t>
      </w:r>
      <w:r>
        <w:rPr>
          <w:rFonts w:hint="eastAsia" w:ascii="仿宋_GB2312" w:hAnsi="仿宋" w:eastAsia="仿宋_GB2312" w:cs="Times New Roman"/>
          <w:kern w:val="2"/>
          <w:sz w:val="32"/>
          <w:szCs w:val="32"/>
        </w:rPr>
        <w:t>年预算增加</w:t>
      </w:r>
      <w:r>
        <w:rPr>
          <w:rFonts w:hint="eastAsia" w:ascii="仿宋_GB2312" w:hAnsi="仿宋" w:eastAsia="仿宋_GB2312" w:cs="Times New Roman"/>
          <w:kern w:val="2"/>
          <w:sz w:val="32"/>
          <w:szCs w:val="32"/>
          <w:lang w:val="en-US" w:eastAsia="zh-CN"/>
        </w:rPr>
        <w:t>5328.54</w:t>
      </w:r>
      <w:r>
        <w:rPr>
          <w:rFonts w:hint="eastAsia" w:ascii="仿宋_GB2312" w:hAnsi="仿宋" w:eastAsia="仿宋_GB2312" w:cs="Times New Roman"/>
          <w:kern w:val="2"/>
          <w:sz w:val="32"/>
          <w:szCs w:val="32"/>
        </w:rPr>
        <w:t>万元，增长</w:t>
      </w:r>
      <w:r>
        <w:rPr>
          <w:rFonts w:hint="eastAsia" w:ascii="仿宋_GB2312" w:hAnsi="仿宋" w:eastAsia="仿宋_GB2312" w:cs="Times New Roman"/>
          <w:kern w:val="2"/>
          <w:sz w:val="32"/>
          <w:szCs w:val="32"/>
          <w:lang w:val="en-US" w:eastAsia="zh-CN"/>
        </w:rPr>
        <w:t>115.1</w:t>
      </w:r>
      <w:r>
        <w:rPr>
          <w:rFonts w:hint="eastAsia" w:ascii="仿宋_GB2312" w:hAnsi="仿宋" w:eastAsia="仿宋_GB2312" w:cs="Times New Roman"/>
          <w:kern w:val="2"/>
          <w:sz w:val="32"/>
          <w:szCs w:val="32"/>
        </w:rPr>
        <w:t>%，主要原因：一是</w:t>
      </w:r>
      <w:r>
        <w:rPr>
          <w:rFonts w:hint="eastAsia" w:ascii="仿宋_GB2312" w:hAnsi="仿宋" w:eastAsia="仿宋_GB2312" w:cs="Times New Roman"/>
          <w:sz w:val="32"/>
          <w:szCs w:val="32"/>
        </w:rPr>
        <w:t>计算口径发生变化，本年度预算支出中含有财政转移支付资金</w:t>
      </w:r>
      <w:r>
        <w:rPr>
          <w:rFonts w:hint="eastAsia" w:ascii="仿宋_GB2312" w:hAnsi="仿宋" w:eastAsia="仿宋_GB2312" w:cs="Times New Roman"/>
          <w:kern w:val="2"/>
          <w:sz w:val="32"/>
          <w:szCs w:val="32"/>
        </w:rPr>
        <w:t>；二是</w:t>
      </w:r>
      <w:r>
        <w:rPr>
          <w:rFonts w:hint="eastAsia" w:ascii="仿宋_GB2312" w:hAnsi="仿宋" w:eastAsia="仿宋_GB2312" w:cs="Times New Roman"/>
          <w:sz w:val="32"/>
          <w:szCs w:val="32"/>
          <w:lang w:eastAsia="zh-CN"/>
        </w:rPr>
        <w:t>加大了对升本工作</w:t>
      </w:r>
      <w:r>
        <w:rPr>
          <w:rFonts w:hint="eastAsia" w:ascii="仿宋_GB2312" w:hAnsi="仿宋" w:eastAsia="仿宋_GB2312" w:cs="Times New Roman"/>
          <w:sz w:val="32"/>
          <w:szCs w:val="32"/>
        </w:rPr>
        <w:t>的</w:t>
      </w:r>
      <w:r>
        <w:rPr>
          <w:rFonts w:hint="eastAsia" w:ascii="仿宋_GB2312" w:hAnsi="仿宋" w:eastAsia="仿宋_GB2312" w:cs="Times New Roman"/>
          <w:sz w:val="32"/>
          <w:szCs w:val="32"/>
          <w:lang w:eastAsia="zh-CN"/>
        </w:rPr>
        <w:t>资金投入</w:t>
      </w:r>
      <w:r>
        <w:rPr>
          <w:rFonts w:hint="eastAsia" w:ascii="仿宋_GB2312" w:hAnsi="仿宋" w:eastAsia="仿宋_GB2312" w:cs="Times New Roman"/>
          <w:kern w:val="2"/>
          <w:sz w:val="32"/>
          <w:szCs w:val="32"/>
        </w:rPr>
        <w:t>。</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4"/>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lang w:eastAsia="zh-CN"/>
        </w:rPr>
        <w:t>教育</w:t>
      </w:r>
      <w:r>
        <w:rPr>
          <w:rFonts w:hint="eastAsia" w:ascii="仿宋_GB2312" w:hAnsi="仿宋" w:eastAsia="仿宋_GB2312" w:cs="Times New Roman"/>
          <w:kern w:val="2"/>
          <w:sz w:val="32"/>
          <w:szCs w:val="32"/>
        </w:rPr>
        <w:t>支出</w:t>
      </w:r>
      <w:r>
        <w:rPr>
          <w:rFonts w:hint="eastAsia" w:ascii="仿宋_GB2312" w:hAnsi="仿宋" w:eastAsia="仿宋_GB2312" w:cs="Times New Roman"/>
          <w:kern w:val="2"/>
          <w:sz w:val="32"/>
          <w:szCs w:val="32"/>
          <w:lang w:val="en-US" w:eastAsia="zh-CN"/>
        </w:rPr>
        <w:t>8476.4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85.1</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675.6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6.8</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327.7</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3.3</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480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4.8</w:t>
      </w:r>
      <w:r>
        <w:rPr>
          <w:rFonts w:hint="eastAsia" w:ascii="仿宋_GB2312" w:hAnsi="仿宋" w:eastAsia="仿宋_GB2312" w:cs="Times New Roman"/>
          <w:kern w:val="2"/>
          <w:sz w:val="32"/>
          <w:szCs w:val="32"/>
        </w:rPr>
        <w:t>%。</w:t>
      </w:r>
    </w:p>
    <w:p>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1.教育支出（类）职业教育（款）高等职业教育（项）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8476.4</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3845.24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83</w:t>
      </w:r>
      <w:r>
        <w:rPr>
          <w:rFonts w:hint="eastAsia" w:ascii="仿宋_GB2312" w:hAnsi="仿宋" w:eastAsia="仿宋_GB2312"/>
          <w:sz w:val="32"/>
          <w:szCs w:val="32"/>
        </w:rPr>
        <w:t>%，增长原因主要是计算口径发生变化，本年度预算支出中含有财政转移支付资金。</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2.社会保障和就业支出（类）行政事业单位养老支出（款）事业单位离退休（项）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33.5</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33.5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%，增长原因主要是2022年新的预算系统经济科目调整。</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3.社会保障和就业支出（类）行政事业单位养老支出（款）机关事业单位基本养老保险缴费支出（项）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428</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428</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%，增长原因主要是2022年新的预算系统经济科目调整及人员社保正常增长。</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4.社会保障和就业支出（类）行政事业单位养老支出（款）机关事业单位职业年金缴费支出（项）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214</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214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%，增长原因主要是2022年新的预算系统经济科目调整及人员社保正常增长。</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.卫生健康支出（类）行政事业单位医疗（款）事业单位医疗（项）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327.7</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327.7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%，增长原因主要是2022年新的预算系统经济科目调整及人员社保正常增长。</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lang w:eastAsia="zh-CN"/>
        </w:rPr>
        <w:t>2022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480</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480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%，增长原因主要是2022年新的预算系统经济科目调整及人员</w:t>
      </w:r>
      <w:r>
        <w:rPr>
          <w:rFonts w:hint="eastAsia" w:ascii="仿宋_GB2312" w:hAnsi="仿宋" w:eastAsia="仿宋_GB2312"/>
          <w:sz w:val="32"/>
          <w:szCs w:val="32"/>
          <w:lang w:eastAsia="zh-CN"/>
        </w:rPr>
        <w:t>公积金</w:t>
      </w:r>
      <w:r>
        <w:rPr>
          <w:rFonts w:hint="eastAsia" w:ascii="仿宋_GB2312" w:hAnsi="仿宋" w:eastAsia="仿宋_GB2312"/>
          <w:sz w:val="32"/>
          <w:szCs w:val="32"/>
        </w:rPr>
        <w:t>正常增长。</w:t>
      </w:r>
    </w:p>
    <w:p>
      <w:pPr>
        <w:pStyle w:val="4"/>
        <w:adjustRightInd w:val="0"/>
        <w:snapToGrid w:val="0"/>
        <w:spacing w:before="0" w:beforeAutospacing="0" w:after="0" w:afterAutospacing="0" w:line="600" w:lineRule="exact"/>
        <w:ind w:firstLine="640" w:firstLineChars="200"/>
        <w:rPr>
          <w:rFonts w:ascii="黑体" w:eastAsia="黑体"/>
          <w:color w:val="000000" w:themeColor="text1"/>
        </w:rPr>
      </w:pPr>
      <w:r>
        <w:rPr>
          <w:rFonts w:hint="eastAsia" w:ascii="黑体" w:hAnsi="仿宋" w:eastAsia="黑体" w:cs="Times New Roman"/>
          <w:color w:val="000000" w:themeColor="text1"/>
          <w:kern w:val="2"/>
          <w:sz w:val="32"/>
          <w:szCs w:val="32"/>
        </w:rPr>
        <w:t>六、关于</w:t>
      </w:r>
      <w:r>
        <w:rPr>
          <w:rFonts w:hint="eastAsia" w:ascii="黑体" w:hAnsi="仿宋" w:eastAsia="黑体" w:cs="Times New Roman"/>
          <w:color w:val="000000" w:themeColor="text1"/>
          <w:kern w:val="2"/>
          <w:sz w:val="32"/>
          <w:szCs w:val="32"/>
          <w:lang w:eastAsia="zh-CN"/>
        </w:rPr>
        <w:t>2022</w:t>
      </w:r>
      <w:r>
        <w:rPr>
          <w:rFonts w:hint="eastAsia" w:ascii="黑体" w:hAnsi="仿宋" w:eastAsia="黑体" w:cs="Times New Roman"/>
          <w:color w:val="000000" w:themeColor="text1"/>
          <w:kern w:val="2"/>
          <w:sz w:val="32"/>
          <w:szCs w:val="32"/>
        </w:rPr>
        <w:t>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马鞍山师范高等专科学校2022</w:t>
      </w:r>
      <w:r>
        <w:rPr>
          <w:rFonts w:hint="eastAsia" w:ascii="仿宋_GB2312" w:hAnsi="仿宋" w:eastAsia="仿宋_GB2312"/>
          <w:sz w:val="32"/>
          <w:szCs w:val="32"/>
        </w:rPr>
        <w:t>年一般公共预算基本支出</w:t>
      </w:r>
      <w:r>
        <w:rPr>
          <w:rFonts w:hint="eastAsia" w:ascii="仿宋_GB2312" w:hAnsi="仿宋" w:eastAsia="仿宋_GB2312"/>
          <w:sz w:val="32"/>
          <w:szCs w:val="32"/>
          <w:lang w:val="en-US" w:eastAsia="zh-CN"/>
        </w:rPr>
        <w:t>4878.5</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4635.7</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242.8</w:t>
      </w:r>
      <w:r>
        <w:rPr>
          <w:rFonts w:hint="eastAsia" w:ascii="仿宋_GB2312" w:hAnsi="仿宋" w:eastAsia="仿宋_GB2312"/>
          <w:sz w:val="32"/>
          <w:szCs w:val="32"/>
        </w:rPr>
        <w:t>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4635.7</w:t>
      </w:r>
      <w:r>
        <w:rPr>
          <w:rFonts w:hint="eastAsia" w:ascii="仿宋_GB2312" w:hAnsi="仿宋" w:eastAsia="仿宋_GB2312"/>
          <w:sz w:val="32"/>
          <w:szCs w:val="32"/>
        </w:rPr>
        <w:t>万元，主要包括:</w:t>
      </w:r>
      <w:r>
        <w:rPr>
          <w:rFonts w:hint="eastAsia" w:ascii="仿宋_GB2312" w:hAnsi="仿宋" w:eastAsia="仿宋_GB2312"/>
          <w:sz w:val="32"/>
          <w:szCs w:val="32"/>
          <w:u w:val="single"/>
        </w:rPr>
        <w:t>基本工资、津贴补贴、奖金、绩效工资、机关事业单位基本养老保险费、职业年金缴费、职工基本医疗保险缴费、其他社会保障缴费、住房公积金、其他工资福利支出、离休费、退休费。</w:t>
      </w:r>
    </w:p>
    <w:p>
      <w:pPr>
        <w:ind w:firstLine="640" w:firstLineChars="200"/>
        <w:rPr>
          <w:rFonts w:ascii="仿宋_GB2312" w:hAnsi="仿宋" w:eastAsia="仿宋_GB2312"/>
          <w:sz w:val="32"/>
          <w:szCs w:val="32"/>
        </w:rPr>
      </w:pPr>
      <w:r>
        <w:rPr>
          <w:rFonts w:hint="eastAsia" w:ascii="仿宋_GB2312" w:hAnsi="仿宋" w:eastAsia="仿宋_GB2312"/>
          <w:sz w:val="32"/>
          <w:szCs w:val="32"/>
        </w:rPr>
        <w:t>（二）公用经费</w:t>
      </w:r>
      <w:r>
        <w:rPr>
          <w:rFonts w:hint="eastAsia" w:ascii="仿宋_GB2312" w:hAnsi="仿宋" w:eastAsia="仿宋_GB2312"/>
          <w:sz w:val="32"/>
          <w:szCs w:val="32"/>
          <w:lang w:val="en-US" w:eastAsia="zh-CN"/>
        </w:rPr>
        <w:t>242.8</w:t>
      </w:r>
      <w:r>
        <w:rPr>
          <w:rFonts w:hint="eastAsia" w:ascii="仿宋_GB2312" w:hAnsi="仿宋" w:eastAsia="仿宋_GB2312"/>
          <w:sz w:val="32"/>
          <w:szCs w:val="32"/>
        </w:rPr>
        <w:t>万元，主要包括：</w:t>
      </w:r>
      <w:r>
        <w:rPr>
          <w:rFonts w:hint="eastAsia" w:ascii="仿宋_GB2312" w:hAnsi="仿宋" w:eastAsia="仿宋_GB2312"/>
          <w:sz w:val="32"/>
          <w:szCs w:val="32"/>
          <w:u w:val="single"/>
        </w:rPr>
        <w:t>水费、培训费、劳务费、工会经费、福利费</w:t>
      </w:r>
      <w:r>
        <w:rPr>
          <w:rFonts w:hint="eastAsia" w:ascii="仿宋_GB2312" w:hAnsi="仿宋" w:eastAsia="仿宋_GB2312"/>
          <w:sz w:val="32"/>
          <w:szCs w:val="32"/>
          <w:u w:val="single"/>
          <w:lang w:eastAsia="zh-CN"/>
        </w:rPr>
        <w:t>、</w:t>
      </w:r>
      <w:r>
        <w:rPr>
          <w:rFonts w:hint="eastAsia" w:ascii="仿宋_GB2312" w:hAnsi="仿宋" w:eastAsia="仿宋_GB2312"/>
          <w:sz w:val="32"/>
          <w:szCs w:val="32"/>
          <w:u w:val="single"/>
        </w:rPr>
        <w:t>其他商品服务支出。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hint="eastAsia" w:ascii="黑体" w:hAnsi="仿宋" w:eastAsia="黑体"/>
          <w:sz w:val="32"/>
          <w:szCs w:val="32"/>
          <w:lang w:eastAsia="zh-CN"/>
        </w:rPr>
        <w:t>2022</w:t>
      </w:r>
      <w:r>
        <w:rPr>
          <w:rFonts w:hint="eastAsia" w:ascii="黑体" w:hAnsi="仿宋" w:eastAsia="黑体"/>
          <w:sz w:val="32"/>
          <w:szCs w:val="32"/>
        </w:rPr>
        <w:t>年政府性基金预算支出表的说明</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80" w:lineRule="exact"/>
        <w:ind w:left="0" w:leftChars="0" w:right="0" w:rightChars="0" w:firstLine="0" w:firstLineChars="0"/>
        <w:jc w:val="both"/>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马鞍山师范高等专科学校2022</w:t>
      </w:r>
      <w:r>
        <w:rPr>
          <w:rFonts w:hint="eastAsia" w:ascii="仿宋_GB2312" w:hAnsi="仿宋" w:eastAsia="仿宋_GB2312"/>
          <w:sz w:val="32"/>
          <w:szCs w:val="32"/>
        </w:rPr>
        <w:t>年没有政府性基金预算拨款收入，也没有使用政府性基金预算拨款安排的支出。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hint="eastAsia" w:ascii="黑体" w:hAnsi="仿宋" w:eastAsia="黑体"/>
          <w:sz w:val="32"/>
          <w:szCs w:val="32"/>
          <w:lang w:eastAsia="zh-CN"/>
        </w:rPr>
        <w:t>2022</w:t>
      </w:r>
      <w:r>
        <w:rPr>
          <w:rFonts w:hint="eastAsia" w:ascii="黑体" w:hAnsi="仿宋" w:eastAsia="黑体"/>
          <w:sz w:val="32"/>
          <w:szCs w:val="32"/>
        </w:rPr>
        <w:t>年国有资本经营预算支出表的说明</w:t>
      </w:r>
    </w:p>
    <w:p>
      <w:pPr>
        <w:pStyle w:val="4"/>
        <w:adjustRightInd w:val="0"/>
        <w:snapToGrid w:val="0"/>
        <w:spacing w:before="0" w:beforeAutospacing="0" w:after="0" w:afterAutospacing="0" w:line="600" w:lineRule="exact"/>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马鞍山师范高等专科学校2022</w:t>
      </w:r>
      <w:r>
        <w:rPr>
          <w:rFonts w:hint="eastAsia" w:ascii="仿宋_GB2312" w:hAnsi="仿宋" w:eastAsia="仿宋_GB2312"/>
          <w:sz w:val="32"/>
          <w:szCs w:val="32"/>
        </w:rPr>
        <w:t>年没有国有资本经营预算拨款收入，也没有使用国有资本经营预算拨款安排的支出。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w:t>
      </w:r>
      <w:r>
        <w:rPr>
          <w:rFonts w:hint="eastAsia" w:ascii="黑体" w:hAnsi="仿宋" w:eastAsia="黑体"/>
          <w:sz w:val="32"/>
          <w:szCs w:val="32"/>
          <w:lang w:eastAsia="zh-CN"/>
        </w:rPr>
        <w:t>2022</w:t>
      </w:r>
      <w:r>
        <w:rPr>
          <w:rFonts w:hint="eastAsia" w:ascii="黑体" w:hAnsi="仿宋" w:eastAsia="黑体"/>
          <w:sz w:val="32"/>
          <w:szCs w:val="32"/>
        </w:rPr>
        <w:t>年项目支出表的说明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马鞍山师范高等专科学校2022</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5746.1</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2973.89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107.3</w:t>
      </w:r>
      <w:r>
        <w:rPr>
          <w:rFonts w:hint="eastAsia" w:ascii="仿宋_GB2312" w:hAnsi="仿宋" w:eastAsia="仿宋_GB2312"/>
          <w:sz w:val="32"/>
          <w:szCs w:val="32"/>
        </w:rPr>
        <w:t xml:space="preserve">%，增长原因主要是2022年预算项目增加了中央及省级转移支付项目。主要包括：本年财政拨款安排 </w:t>
      </w:r>
      <w:r>
        <w:rPr>
          <w:rFonts w:hint="eastAsia" w:ascii="仿宋_GB2312" w:hAnsi="仿宋" w:eastAsia="仿宋_GB2312"/>
          <w:sz w:val="32"/>
          <w:szCs w:val="32"/>
          <w:lang w:val="en-US" w:eastAsia="zh-CN"/>
        </w:rPr>
        <w:t>4319.4</w:t>
      </w:r>
      <w:r>
        <w:rPr>
          <w:rFonts w:hint="eastAsia" w:ascii="仿宋_GB2312" w:hAnsi="仿宋" w:eastAsia="仿宋_GB2312"/>
          <w:sz w:val="32"/>
          <w:szCs w:val="32"/>
        </w:rPr>
        <w:t xml:space="preserve">万元（其中，一般公共预算拨款安排 </w:t>
      </w:r>
      <w:r>
        <w:rPr>
          <w:rFonts w:hint="eastAsia" w:ascii="仿宋_GB2312" w:hAnsi="仿宋" w:eastAsia="仿宋_GB2312"/>
          <w:sz w:val="32"/>
          <w:szCs w:val="32"/>
          <w:lang w:val="en-US" w:eastAsia="zh-CN"/>
        </w:rPr>
        <w:t>4319.4</w:t>
      </w:r>
      <w:r>
        <w:rPr>
          <w:rFonts w:hint="eastAsia" w:ascii="仿宋_GB2312" w:hAnsi="仿宋" w:eastAsia="仿宋_GB2312"/>
          <w:sz w:val="32"/>
          <w:szCs w:val="32"/>
        </w:rPr>
        <w:t>万元），财政拨款结转结余安排</w:t>
      </w:r>
      <w:r>
        <w:rPr>
          <w:rFonts w:hint="eastAsia" w:ascii="仿宋_GB2312" w:hAnsi="仿宋" w:eastAsia="仿宋_GB2312"/>
          <w:sz w:val="32"/>
          <w:szCs w:val="32"/>
          <w:lang w:val="en-US" w:eastAsia="zh-CN"/>
        </w:rPr>
        <w:t>761.8</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761.8</w:t>
      </w:r>
      <w:r>
        <w:rPr>
          <w:rFonts w:hint="eastAsia" w:ascii="仿宋_GB2312" w:hAnsi="仿宋" w:eastAsia="仿宋_GB2312"/>
          <w:sz w:val="32"/>
          <w:szCs w:val="32"/>
        </w:rPr>
        <w:t>万元）、财政专户管理资金安排</w:t>
      </w:r>
      <w:r>
        <w:rPr>
          <w:rFonts w:hint="eastAsia" w:ascii="仿宋_GB2312" w:hAnsi="仿宋" w:eastAsia="仿宋_GB2312"/>
          <w:sz w:val="32"/>
          <w:szCs w:val="32"/>
          <w:lang w:val="en-US" w:eastAsia="zh-CN"/>
        </w:rPr>
        <w:t>664.9</w:t>
      </w:r>
      <w:r>
        <w:rPr>
          <w:rFonts w:hint="eastAsia" w:ascii="仿宋_GB2312" w:hAnsi="仿宋" w:eastAsia="仿宋_GB2312"/>
          <w:sz w:val="32"/>
          <w:szCs w:val="32"/>
        </w:rPr>
        <w:t>万元。</w:t>
      </w:r>
      <w:r>
        <w:rPr>
          <w:rFonts w:ascii="仿宋_GB2312" w:hAnsi="仿宋" w:eastAsia="仿宋_GB2312"/>
          <w:sz w:val="32"/>
          <w:szCs w:val="32"/>
        </w:rPr>
        <w:t xml:space="preserve"> </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hint="eastAsia" w:ascii="黑体" w:hAnsi="仿宋" w:eastAsia="黑体"/>
          <w:sz w:val="32"/>
          <w:szCs w:val="32"/>
          <w:lang w:eastAsia="zh-CN"/>
        </w:rPr>
        <w:t>2022</w:t>
      </w:r>
      <w:r>
        <w:rPr>
          <w:rFonts w:hint="eastAsia" w:ascii="黑体" w:hAnsi="仿宋" w:eastAsia="黑体"/>
          <w:sz w:val="32"/>
          <w:szCs w:val="32"/>
        </w:rPr>
        <w:t>年政府采购支出表的说明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马鞍山师范高等专科学校2022</w:t>
      </w:r>
      <w:r>
        <w:rPr>
          <w:rFonts w:hint="eastAsia" w:ascii="仿宋_GB2312" w:hAnsi="仿宋" w:eastAsia="仿宋_GB2312"/>
          <w:sz w:val="32"/>
          <w:szCs w:val="32"/>
        </w:rPr>
        <w:t>年预算安排政府采购支出</w:t>
      </w:r>
      <w:r>
        <w:rPr>
          <w:rFonts w:hint="eastAsia" w:ascii="仿宋_GB2312" w:hAnsi="仿宋" w:eastAsia="仿宋_GB2312"/>
          <w:sz w:val="32"/>
          <w:szCs w:val="32"/>
          <w:lang w:val="en-US" w:eastAsia="zh-CN"/>
        </w:rPr>
        <w:t>691.4</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641.4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1282.8</w:t>
      </w:r>
      <w:r>
        <w:rPr>
          <w:rFonts w:hint="eastAsia" w:ascii="仿宋_GB2312" w:hAnsi="仿宋" w:eastAsia="仿宋_GB2312"/>
          <w:sz w:val="32"/>
          <w:szCs w:val="32"/>
        </w:rPr>
        <w:t>%，增长原因主要是计算口径发生变化，本年度预算支出中含有财政转移支付资金。其中，一般公共预算安排</w:t>
      </w:r>
      <w:r>
        <w:rPr>
          <w:rFonts w:hint="eastAsia" w:ascii="仿宋_GB2312" w:hAnsi="仿宋" w:eastAsia="仿宋_GB2312"/>
          <w:sz w:val="32"/>
          <w:szCs w:val="32"/>
          <w:lang w:val="en-US" w:eastAsia="zh-CN"/>
        </w:rPr>
        <w:t>691.4</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w:t>
      </w:r>
      <w:r>
        <w:rPr>
          <w:rFonts w:hint="eastAsia" w:ascii="黑体" w:hAnsi="仿宋" w:eastAsia="黑体"/>
          <w:sz w:val="32"/>
          <w:szCs w:val="32"/>
          <w:lang w:eastAsia="zh-CN"/>
        </w:rPr>
        <w:t>2022</w:t>
      </w:r>
      <w:r>
        <w:rPr>
          <w:rFonts w:hint="eastAsia" w:ascii="黑体" w:hAnsi="仿宋" w:eastAsia="黑体"/>
          <w:sz w:val="32"/>
          <w:szCs w:val="32"/>
        </w:rPr>
        <w:t>年政府购买服务支出表的说明</w:t>
      </w:r>
    </w:p>
    <w:p>
      <w:pPr>
        <w:pStyle w:val="4"/>
        <w:adjustRightInd w:val="0"/>
        <w:snapToGrid w:val="0"/>
        <w:spacing w:before="0" w:beforeAutospacing="0" w:after="0" w:afterAutospacing="0" w:line="600"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lang w:eastAsia="zh-CN"/>
        </w:rPr>
        <w:t>马鞍山师范高等专科学校2022</w:t>
      </w:r>
      <w:r>
        <w:rPr>
          <w:rFonts w:hint="eastAsia" w:ascii="仿宋_GB2312" w:hAnsi="仿宋" w:eastAsia="仿宋_GB2312"/>
          <w:sz w:val="32"/>
          <w:szCs w:val="32"/>
        </w:rPr>
        <w:t>年没有安排政府购买服务支出。</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803" w:firstLineChars="250"/>
        <w:rPr>
          <w:rFonts w:hint="eastAsia" w:ascii="仿宋_GB2312" w:hAnsi="楷体" w:eastAsia="仿宋_GB2312"/>
          <w:b/>
          <w:sz w:val="32"/>
          <w:szCs w:val="32"/>
        </w:rPr>
      </w:pPr>
      <w:r>
        <w:rPr>
          <w:rFonts w:hint="eastAsia" w:ascii="仿宋_GB2312" w:hAnsi="楷体" w:eastAsia="仿宋_GB2312"/>
          <w:b/>
          <w:sz w:val="32"/>
          <w:szCs w:val="32"/>
        </w:rPr>
        <w:t>1.“2021年政府采购资金结转”项目。</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rPr>
        <w:t>1）项目概述。马鞍山师范高等专科学校于2021年对ABC三栋教学楼进行维修，并采购了公寓智能管理系统及技能竞赛所需设备，目前部分采购尚未完成，故申请结转采购资金于2022年继续使用。</w:t>
      </w:r>
    </w:p>
    <w:p>
      <w:pPr>
        <w:spacing w:line="600" w:lineRule="exact"/>
        <w:ind w:firstLine="585" w:firstLineChars="183"/>
        <w:rPr>
          <w:rFonts w:hint="eastAsia" w:ascii="仿宋_GB2312" w:hAnsi="楷体" w:eastAsia="仿宋_GB2312"/>
          <w:color w:val="auto"/>
          <w:sz w:val="32"/>
          <w:szCs w:val="32"/>
        </w:rPr>
      </w:pPr>
      <w:r>
        <w:rPr>
          <w:rFonts w:hint="eastAsia" w:ascii="仿宋_GB2312" w:hAnsi="楷体" w:eastAsia="仿宋_GB2312"/>
          <w:sz w:val="32"/>
          <w:szCs w:val="32"/>
        </w:rPr>
        <w:t>（2）立项依据。</w:t>
      </w:r>
      <w:r>
        <w:rPr>
          <w:rFonts w:hint="eastAsia" w:ascii="仿宋_GB2312" w:hAnsi="楷体" w:eastAsia="仿宋_GB2312"/>
          <w:color w:val="auto"/>
          <w:sz w:val="32"/>
          <w:szCs w:val="32"/>
        </w:rPr>
        <w:t>改善办学条件，优化教学环境，提高教学质量。</w:t>
      </w:r>
    </w:p>
    <w:p>
      <w:pPr>
        <w:spacing w:line="600" w:lineRule="exact"/>
        <w:ind w:firstLine="585" w:firstLineChars="183"/>
        <w:rPr>
          <w:rFonts w:hint="eastAsia" w:ascii="仿宋_GB2312" w:hAnsi="楷体" w:eastAsia="仿宋_GB2312"/>
          <w:sz w:val="32"/>
          <w:szCs w:val="32"/>
          <w:u w:val="single"/>
        </w:rPr>
      </w:pPr>
      <w:r>
        <w:rPr>
          <w:rFonts w:hint="eastAsia" w:ascii="仿宋_GB2312" w:hAnsi="楷体" w:eastAsia="仿宋_GB2312"/>
          <w:sz w:val="32"/>
          <w:szCs w:val="32"/>
        </w:rPr>
        <w:t>（3）实施主体。马鞍山师范高等专科学校。</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rPr>
        <w:t>2022年。</w:t>
      </w:r>
    </w:p>
    <w:p>
      <w:pPr>
        <w:spacing w:line="600" w:lineRule="exact"/>
        <w:ind w:firstLine="642"/>
        <w:rPr>
          <w:rFonts w:hint="eastAsia" w:ascii="仿宋_GB2312" w:hAnsi="仿宋_GB2312" w:eastAsia="仿宋_GB2312" w:cs="仿宋_GB2312"/>
          <w:bCs/>
          <w:sz w:val="30"/>
          <w:szCs w:val="30"/>
        </w:rPr>
      </w:pPr>
      <w:r>
        <w:rPr>
          <w:rFonts w:hint="eastAsia" w:ascii="仿宋_GB2312" w:hAnsi="楷体" w:eastAsia="仿宋_GB2312"/>
          <w:sz w:val="32"/>
          <w:szCs w:val="32"/>
        </w:rPr>
        <w:t>（5）项目内容。维修老旧教学楼，采购管理及竞赛设备。</w:t>
      </w:r>
    </w:p>
    <w:p>
      <w:pPr>
        <w:adjustRightInd w:val="0"/>
        <w:snapToGrid w:val="0"/>
        <w:spacing w:line="600" w:lineRule="exact"/>
        <w:ind w:firstLine="640" w:firstLineChars="200"/>
        <w:rPr>
          <w:rFonts w:ascii="宋体" w:hAnsi="宋体" w:eastAsia="仿宋_GB2312" w:cs="宋体"/>
          <w:color w:val="000000"/>
          <w:kern w:val="0"/>
          <w:sz w:val="18"/>
          <w:szCs w:val="18"/>
          <w:lang w:bidi="ar"/>
        </w:rPr>
      </w:pPr>
      <w:r>
        <w:rPr>
          <w:rFonts w:hint="eastAsia" w:ascii="仿宋_GB2312" w:hAnsi="楷体" w:eastAsia="仿宋_GB2312"/>
          <w:sz w:val="32"/>
          <w:szCs w:val="32"/>
        </w:rPr>
        <w:t>（6）年度预算安排。761.85万元。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仿宋" w:eastAsia="仿宋_GB2312"/>
          <w:sz w:val="32"/>
          <w:szCs w:val="32"/>
        </w:rPr>
        <w:t>提高办学质量和水平。</w:t>
      </w:r>
    </w:p>
    <w:tbl>
      <w:tblPr>
        <w:tblStyle w:val="5"/>
        <w:tblpPr w:leftFromText="180" w:rightFromText="180" w:vertAnchor="text" w:horzAnchor="page" w:tblpX="1670" w:tblpY="606"/>
        <w:tblOverlap w:val="never"/>
        <w:tblW w:w="9777" w:type="dxa"/>
        <w:tblInd w:w="0" w:type="dxa"/>
        <w:tblLayout w:type="fixed"/>
        <w:tblCellMar>
          <w:top w:w="0" w:type="dxa"/>
          <w:left w:w="108" w:type="dxa"/>
          <w:bottom w:w="0" w:type="dxa"/>
          <w:right w:w="108" w:type="dxa"/>
        </w:tblCellMar>
      </w:tblPr>
      <w:tblGrid>
        <w:gridCol w:w="416"/>
        <w:gridCol w:w="820"/>
        <w:gridCol w:w="940"/>
        <w:gridCol w:w="1721"/>
        <w:gridCol w:w="1195"/>
        <w:gridCol w:w="995"/>
        <w:gridCol w:w="629"/>
        <w:gridCol w:w="1460"/>
        <w:gridCol w:w="732"/>
        <w:gridCol w:w="869"/>
      </w:tblGrid>
      <w:tr>
        <w:tblPrEx>
          <w:tblCellMar>
            <w:top w:w="0" w:type="dxa"/>
            <w:left w:w="108" w:type="dxa"/>
            <w:bottom w:w="0" w:type="dxa"/>
            <w:right w:w="108" w:type="dxa"/>
          </w:tblCellMar>
        </w:tblPrEx>
        <w:trPr>
          <w:trHeight w:val="360" w:hRule="atLeast"/>
        </w:trPr>
        <w:tc>
          <w:tcPr>
            <w:tcW w:w="9777" w:type="dxa"/>
            <w:gridSpan w:val="10"/>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default"/>
                <w:b/>
                <w:bCs/>
                <w:sz w:val="32"/>
                <w:szCs w:val="32"/>
              </w:rPr>
            </w:pPr>
          </w:p>
          <w:p>
            <w:pPr>
              <w:keepNext w:val="0"/>
              <w:keepLines w:val="0"/>
              <w:suppressLineNumbers w:val="0"/>
              <w:spacing w:before="0" w:beforeAutospacing="0" w:after="0" w:afterAutospacing="0"/>
              <w:ind w:left="0" w:right="0"/>
              <w:jc w:val="center"/>
              <w:rPr>
                <w:rFonts w:hint="default"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777" w:type="dxa"/>
            <w:gridSpan w:val="10"/>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（2022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项目名称</w:t>
            </w:r>
          </w:p>
        </w:tc>
        <w:tc>
          <w:tcPr>
            <w:tcW w:w="8541" w:type="dxa"/>
            <w:gridSpan w:val="8"/>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2021年政府采购资金结转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实施单位</w:t>
            </w:r>
          </w:p>
        </w:tc>
        <w:tc>
          <w:tcPr>
            <w:tcW w:w="8541" w:type="dxa"/>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马鞍山师范高等专科学校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项目属性</w:t>
            </w:r>
          </w:p>
        </w:tc>
        <w:tc>
          <w:tcPr>
            <w:tcW w:w="8541" w:type="dxa"/>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一次性项目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项目资金</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（万元）</w:t>
            </w:r>
          </w:p>
        </w:tc>
        <w:tc>
          <w:tcPr>
            <w:tcW w:w="172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中期资金总额：</w:t>
            </w:r>
          </w:p>
        </w:tc>
        <w:tc>
          <w:tcPr>
            <w:tcW w:w="219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 xml:space="preserve">   761.85</w:t>
            </w:r>
          </w:p>
        </w:tc>
        <w:tc>
          <w:tcPr>
            <w:tcW w:w="2089"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年度资金总额：</w:t>
            </w:r>
          </w:p>
        </w:tc>
        <w:tc>
          <w:tcPr>
            <w:tcW w:w="1601"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宋体" w:hAnsi="宋体" w:cs="宋体"/>
                <w:sz w:val="20"/>
                <w:szCs w:val="20"/>
              </w:rPr>
            </w:pPr>
            <w:r>
              <w:rPr>
                <w:rFonts w:hint="eastAsia" w:ascii="宋体" w:hAnsi="宋体" w:cs="宋体"/>
                <w:color w:val="000000"/>
                <w:kern w:val="0"/>
                <w:sz w:val="18"/>
                <w:szCs w:val="18"/>
                <w:lang w:bidi="ar"/>
              </w:rPr>
              <w:t xml:space="preserve"> 761.85</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72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其中：财政拨款</w:t>
            </w:r>
          </w:p>
        </w:tc>
        <w:tc>
          <w:tcPr>
            <w:tcW w:w="2190"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宋体" w:hAnsi="宋体" w:cs="宋体"/>
                <w:sz w:val="20"/>
                <w:szCs w:val="20"/>
              </w:rPr>
            </w:pPr>
            <w:r>
              <w:rPr>
                <w:rFonts w:hint="eastAsia"/>
                <w:sz w:val="20"/>
                <w:szCs w:val="20"/>
              </w:rPr>
              <w:t>　</w:t>
            </w:r>
            <w:r>
              <w:rPr>
                <w:rFonts w:hint="eastAsia" w:ascii="宋体" w:hAnsi="宋体" w:cs="宋体"/>
                <w:color w:val="000000"/>
                <w:kern w:val="0"/>
                <w:sz w:val="18"/>
                <w:szCs w:val="18"/>
                <w:lang w:bidi="ar"/>
              </w:rPr>
              <w:t xml:space="preserve"> 761.85</w:t>
            </w:r>
          </w:p>
        </w:tc>
        <w:tc>
          <w:tcPr>
            <w:tcW w:w="2089"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其中：财政拨款</w:t>
            </w:r>
          </w:p>
        </w:tc>
        <w:tc>
          <w:tcPr>
            <w:tcW w:w="1601"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宋体" w:hAnsi="宋体" w:cs="宋体"/>
                <w:sz w:val="20"/>
                <w:szCs w:val="20"/>
              </w:rPr>
            </w:pPr>
            <w:r>
              <w:rPr>
                <w:rFonts w:hint="eastAsia" w:ascii="宋体" w:hAnsi="宋体" w:cs="宋体"/>
                <w:color w:val="000000"/>
                <w:kern w:val="0"/>
                <w:sz w:val="18"/>
                <w:szCs w:val="18"/>
                <w:lang w:bidi="ar"/>
              </w:rPr>
              <w:t xml:space="preserve"> 761.85</w:t>
            </w:r>
            <w:r>
              <w:rPr>
                <w:rFonts w:hint="eastAsia"/>
                <w:b/>
                <w:bCs/>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72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其他资金</w:t>
            </w:r>
          </w:p>
        </w:tc>
        <w:tc>
          <w:tcPr>
            <w:tcW w:w="2190"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　</w:t>
            </w:r>
          </w:p>
        </w:tc>
        <w:tc>
          <w:tcPr>
            <w:tcW w:w="2089"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其他资金</w:t>
            </w:r>
          </w:p>
        </w:tc>
        <w:tc>
          <w:tcPr>
            <w:tcW w:w="1601"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总</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体</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目</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5671" w:type="dxa"/>
            <w:gridSpan w:val="5"/>
            <w:tcBorders>
              <w:top w:val="single" w:color="auto" w:sz="4" w:space="0"/>
              <w:left w:val="nil"/>
              <w:bottom w:val="single" w:color="auto" w:sz="4" w:space="0"/>
              <w:right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中期目标（2022年—2022年）</w:t>
            </w:r>
          </w:p>
        </w:tc>
        <w:tc>
          <w:tcPr>
            <w:tcW w:w="3690"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5671" w:type="dxa"/>
            <w:gridSpan w:val="5"/>
            <w:tcBorders>
              <w:top w:val="single" w:color="auto" w:sz="4" w:space="0"/>
              <w:left w:val="nil"/>
              <w:bottom w:val="single" w:color="auto" w:sz="4" w:space="0"/>
              <w:right w:val="nil"/>
            </w:tcBorders>
            <w:noWrap w:val="0"/>
            <w:vAlign w:val="top"/>
          </w:tcPr>
          <w:p>
            <w:pPr>
              <w:keepNext w:val="0"/>
              <w:keepLines w:val="0"/>
              <w:suppressLineNumbers w:val="0"/>
              <w:spacing w:before="0" w:beforeAutospacing="0" w:after="0" w:afterAutospacing="0"/>
              <w:ind w:left="0" w:right="0"/>
              <w:rPr>
                <w:rFonts w:hint="eastAsia" w:eastAsia="宋体"/>
                <w:sz w:val="20"/>
                <w:szCs w:val="20"/>
                <w:lang w:eastAsia="zh-CN"/>
              </w:rPr>
            </w:pPr>
            <w:r>
              <w:rPr>
                <w:rFonts w:hint="eastAsia"/>
                <w:sz w:val="20"/>
                <w:szCs w:val="20"/>
              </w:rPr>
              <w:t xml:space="preserve"> 目标1：校园美化和整洁有序；</w:t>
            </w:r>
          </w:p>
          <w:p>
            <w:pPr>
              <w:keepNext w:val="0"/>
              <w:keepLines w:val="0"/>
              <w:suppressLineNumbers w:val="0"/>
              <w:spacing w:before="0" w:beforeAutospacing="0" w:after="0" w:afterAutospacing="0"/>
              <w:ind w:left="0" w:right="0"/>
              <w:rPr>
                <w:rFonts w:hint="eastAsia" w:eastAsia="宋体"/>
                <w:sz w:val="20"/>
                <w:szCs w:val="20"/>
                <w:lang w:eastAsia="zh-CN"/>
              </w:rPr>
            </w:pPr>
            <w:r>
              <w:rPr>
                <w:rFonts w:hint="eastAsia"/>
                <w:sz w:val="20"/>
                <w:szCs w:val="20"/>
              </w:rPr>
              <w:t xml:space="preserve"> 目标2：保障教职工教学工作顺利开展。</w:t>
            </w:r>
          </w:p>
          <w:p>
            <w:pPr>
              <w:keepNext w:val="0"/>
              <w:keepLines w:val="0"/>
              <w:suppressLineNumbers w:val="0"/>
              <w:spacing w:before="0" w:beforeAutospacing="0" w:after="0" w:afterAutospacing="0"/>
              <w:ind w:left="0" w:right="0"/>
              <w:rPr>
                <w:rFonts w:hint="eastAsia" w:eastAsia="宋体"/>
                <w:sz w:val="20"/>
                <w:szCs w:val="20"/>
                <w:lang w:eastAsia="zh-CN"/>
              </w:rPr>
            </w:pPr>
          </w:p>
        </w:tc>
        <w:tc>
          <w:tcPr>
            <w:tcW w:w="3690" w:type="dxa"/>
            <w:gridSpan w:val="4"/>
            <w:tcBorders>
              <w:top w:val="single" w:color="auto" w:sz="4" w:space="0"/>
              <w:left w:val="single" w:color="auto" w:sz="4" w:space="0"/>
              <w:bottom w:val="single" w:color="auto"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eastAsia="宋体"/>
                <w:sz w:val="20"/>
                <w:szCs w:val="20"/>
                <w:lang w:eastAsia="zh-CN"/>
              </w:rPr>
            </w:pPr>
            <w:r>
              <w:rPr>
                <w:rFonts w:hint="eastAsia"/>
                <w:sz w:val="20"/>
                <w:szCs w:val="20"/>
              </w:rPr>
              <w:t xml:space="preserve"> 目标1：提升办学水平；</w:t>
            </w:r>
          </w:p>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目标2：建设技能型高水平大学。</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绩</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效</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一级</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72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三级指标</w:t>
            </w:r>
          </w:p>
        </w:tc>
        <w:tc>
          <w:tcPr>
            <w:tcW w:w="11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指标值</w:t>
            </w:r>
          </w:p>
        </w:tc>
        <w:tc>
          <w:tcPr>
            <w:tcW w:w="9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绩效标准</w:t>
            </w:r>
          </w:p>
        </w:tc>
        <w:tc>
          <w:tcPr>
            <w:tcW w:w="62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460" w:type="dxa"/>
            <w:tcBorders>
              <w:top w:val="nil"/>
              <w:left w:val="nil"/>
              <w:bottom w:val="single" w:color="auto" w:sz="4" w:space="0"/>
              <w:right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三级指标</w:t>
            </w:r>
          </w:p>
        </w:tc>
        <w:tc>
          <w:tcPr>
            <w:tcW w:w="73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指标值</w:t>
            </w:r>
          </w:p>
        </w:tc>
        <w:tc>
          <w:tcPr>
            <w:tcW w:w="86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产</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出</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72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日常维修相关验收合格率</w:t>
            </w:r>
          </w:p>
        </w:tc>
        <w:tc>
          <w:tcPr>
            <w:tcW w:w="11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95%</w:t>
            </w:r>
          </w:p>
        </w:tc>
        <w:tc>
          <w:tcPr>
            <w:tcW w:w="9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≥9</w:t>
            </w:r>
            <w:r>
              <w:rPr>
                <w:rFonts w:hint="eastAsia"/>
                <w:sz w:val="20"/>
                <w:szCs w:val="20"/>
                <w:lang w:val="en-US" w:eastAsia="zh-CN"/>
              </w:rPr>
              <w:t>0</w:t>
            </w:r>
            <w:r>
              <w:rPr>
                <w:rFonts w:hint="eastAsia"/>
                <w:sz w:val="20"/>
                <w:szCs w:val="20"/>
              </w:rPr>
              <w:t>%</w:t>
            </w:r>
          </w:p>
        </w:tc>
        <w:tc>
          <w:tcPr>
            <w:tcW w:w="62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日常维修相关验收合格率</w:t>
            </w:r>
          </w:p>
        </w:tc>
        <w:tc>
          <w:tcPr>
            <w:tcW w:w="73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95%</w:t>
            </w:r>
          </w:p>
        </w:tc>
        <w:tc>
          <w:tcPr>
            <w:tcW w:w="86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≥9</w:t>
            </w:r>
            <w:r>
              <w:rPr>
                <w:rFonts w:hint="eastAsia"/>
                <w:sz w:val="20"/>
                <w:szCs w:val="20"/>
                <w:lang w:val="en-US" w:eastAsia="zh-CN"/>
              </w:rPr>
              <w:t>0</w:t>
            </w:r>
            <w:r>
              <w:rPr>
                <w:rFonts w:hint="eastAsia"/>
                <w:sz w:val="20"/>
                <w:szCs w:val="20"/>
              </w:rPr>
              <w:t>%</w:t>
            </w:r>
          </w:p>
        </w:tc>
      </w:tr>
      <w:tr>
        <w:tblPrEx>
          <w:tblCellMar>
            <w:top w:w="0" w:type="dxa"/>
            <w:left w:w="108" w:type="dxa"/>
            <w:bottom w:w="0" w:type="dxa"/>
            <w:right w:w="108" w:type="dxa"/>
          </w:tblCellMar>
        </w:tblPrEx>
        <w:trPr>
          <w:trHeight w:val="1476"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72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经费支出的合规性</w:t>
            </w:r>
          </w:p>
        </w:tc>
        <w:tc>
          <w:tcPr>
            <w:tcW w:w="11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符合相关规定</w:t>
            </w:r>
          </w:p>
        </w:tc>
        <w:tc>
          <w:tcPr>
            <w:tcW w:w="9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符合相关规定</w:t>
            </w:r>
          </w:p>
        </w:tc>
        <w:tc>
          <w:tcPr>
            <w:tcW w:w="62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经费支出的合规性</w:t>
            </w:r>
          </w:p>
        </w:tc>
        <w:tc>
          <w:tcPr>
            <w:tcW w:w="73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符合相关规定</w:t>
            </w:r>
          </w:p>
        </w:tc>
        <w:tc>
          <w:tcPr>
            <w:tcW w:w="86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符合相关规定</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72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 w:val="20"/>
                <w:szCs w:val="20"/>
              </w:rPr>
              <w:t>经费支出及时性</w:t>
            </w:r>
          </w:p>
        </w:tc>
        <w:tc>
          <w:tcPr>
            <w:tcW w:w="11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olor w:val="000000"/>
                <w:sz w:val="20"/>
                <w:szCs w:val="24"/>
                <w:lang w:val="en-US" w:eastAsia="zh-CN"/>
              </w:rPr>
              <w:t>2022年年底前完成资金支付</w:t>
            </w:r>
          </w:p>
        </w:tc>
        <w:tc>
          <w:tcPr>
            <w:tcW w:w="9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本年度内完成资金支付</w:t>
            </w:r>
          </w:p>
        </w:tc>
        <w:tc>
          <w:tcPr>
            <w:tcW w:w="62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 w:val="20"/>
                <w:szCs w:val="20"/>
              </w:rPr>
              <w:t>经费支出及时性</w:t>
            </w:r>
          </w:p>
        </w:tc>
        <w:tc>
          <w:tcPr>
            <w:tcW w:w="73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2022年年底前完成资金支付</w:t>
            </w:r>
          </w:p>
        </w:tc>
        <w:tc>
          <w:tcPr>
            <w:tcW w:w="86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lang w:val="en-US" w:eastAsia="zh-CN"/>
              </w:rPr>
              <w:t>本年度内完成支付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72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项目总成本</w:t>
            </w:r>
          </w:p>
        </w:tc>
        <w:tc>
          <w:tcPr>
            <w:tcW w:w="11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761.85万元</w:t>
            </w:r>
          </w:p>
        </w:tc>
        <w:tc>
          <w:tcPr>
            <w:tcW w:w="9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lang w:val="en-US" w:eastAsia="zh-CN"/>
              </w:rPr>
              <w:t>≤761.85万元</w:t>
            </w:r>
          </w:p>
        </w:tc>
        <w:tc>
          <w:tcPr>
            <w:tcW w:w="62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 w:val="20"/>
                <w:szCs w:val="20"/>
              </w:rPr>
              <w:t>项目总成本</w:t>
            </w:r>
          </w:p>
        </w:tc>
        <w:tc>
          <w:tcPr>
            <w:tcW w:w="73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761.85万元</w:t>
            </w:r>
          </w:p>
        </w:tc>
        <w:tc>
          <w:tcPr>
            <w:tcW w:w="86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lang w:val="en-US" w:eastAsia="zh-CN"/>
              </w:rPr>
            </w:pPr>
            <w:r>
              <w:rPr>
                <w:rFonts w:hint="eastAsia" w:ascii="宋体" w:hAnsi="宋体" w:cs="宋体"/>
                <w:sz w:val="20"/>
                <w:szCs w:val="20"/>
                <w:lang w:val="en-US" w:eastAsia="zh-CN"/>
              </w:rPr>
              <w:t>≤761.85万元</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效</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益</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经济效益指标</w:t>
            </w:r>
          </w:p>
        </w:tc>
        <w:tc>
          <w:tcPr>
            <w:tcW w:w="172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对服务支持经济发展能力的影响程度</w:t>
            </w:r>
          </w:p>
        </w:tc>
        <w:tc>
          <w:tcPr>
            <w:tcW w:w="11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影响程度较高</w:t>
            </w:r>
          </w:p>
        </w:tc>
        <w:tc>
          <w:tcPr>
            <w:tcW w:w="9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影响程度较高</w:t>
            </w:r>
          </w:p>
        </w:tc>
        <w:tc>
          <w:tcPr>
            <w:tcW w:w="62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经济效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益指标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对服务支持经济发展能力的影响程度</w:t>
            </w:r>
          </w:p>
        </w:tc>
        <w:tc>
          <w:tcPr>
            <w:tcW w:w="73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lang w:val="en-US" w:eastAsia="zh-CN"/>
              </w:rPr>
              <w:t>影响程度较高</w:t>
            </w:r>
          </w:p>
        </w:tc>
        <w:tc>
          <w:tcPr>
            <w:tcW w:w="86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社会效益指标</w:t>
            </w:r>
          </w:p>
        </w:tc>
        <w:tc>
          <w:tcPr>
            <w:tcW w:w="172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完善办学条件，提升教育办学水平</w:t>
            </w:r>
          </w:p>
        </w:tc>
        <w:tc>
          <w:tcPr>
            <w:tcW w:w="11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lang w:val="en-US" w:eastAsia="zh-CN"/>
              </w:rPr>
              <w:t>影响程度较高</w:t>
            </w:r>
          </w:p>
        </w:tc>
        <w:tc>
          <w:tcPr>
            <w:tcW w:w="9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影响程度较高</w:t>
            </w:r>
          </w:p>
        </w:tc>
        <w:tc>
          <w:tcPr>
            <w:tcW w:w="62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社会效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益指标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完善办学条件，提升教育办学水平</w:t>
            </w:r>
          </w:p>
        </w:tc>
        <w:tc>
          <w:tcPr>
            <w:tcW w:w="73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lang w:val="en-US" w:eastAsia="zh-CN"/>
              </w:rPr>
              <w:t>影响程度较高</w:t>
            </w:r>
          </w:p>
        </w:tc>
        <w:tc>
          <w:tcPr>
            <w:tcW w:w="86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生态效益指标</w:t>
            </w:r>
          </w:p>
        </w:tc>
        <w:tc>
          <w:tcPr>
            <w:tcW w:w="172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教育事业可持续发展</w:t>
            </w:r>
          </w:p>
        </w:tc>
        <w:tc>
          <w:tcPr>
            <w:tcW w:w="11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影响程度较高</w:t>
            </w:r>
          </w:p>
        </w:tc>
        <w:tc>
          <w:tcPr>
            <w:tcW w:w="9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影响程度较高</w:t>
            </w:r>
          </w:p>
        </w:tc>
        <w:tc>
          <w:tcPr>
            <w:tcW w:w="62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生态效益指标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教育事业可持续发展</w:t>
            </w:r>
          </w:p>
        </w:tc>
        <w:tc>
          <w:tcPr>
            <w:tcW w:w="73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影响程度较高</w:t>
            </w:r>
          </w:p>
        </w:tc>
        <w:tc>
          <w:tcPr>
            <w:tcW w:w="86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可持续影响</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72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保障学校履职，促进教育事业发展的影响程度</w:t>
            </w:r>
          </w:p>
        </w:tc>
        <w:tc>
          <w:tcPr>
            <w:tcW w:w="11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c>
          <w:tcPr>
            <w:tcW w:w="9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影响程度较高</w:t>
            </w:r>
          </w:p>
        </w:tc>
        <w:tc>
          <w:tcPr>
            <w:tcW w:w="62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可持续</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影响</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保障学校履职，促进教育事业发展的影响程度</w:t>
            </w:r>
          </w:p>
        </w:tc>
        <w:tc>
          <w:tcPr>
            <w:tcW w:w="73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c>
          <w:tcPr>
            <w:tcW w:w="86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服务对象满意度指标</w:t>
            </w:r>
          </w:p>
        </w:tc>
        <w:tc>
          <w:tcPr>
            <w:tcW w:w="172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企业满意度</w:t>
            </w:r>
          </w:p>
        </w:tc>
        <w:tc>
          <w:tcPr>
            <w:tcW w:w="11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90%</w:t>
            </w:r>
          </w:p>
        </w:tc>
        <w:tc>
          <w:tcPr>
            <w:tcW w:w="99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≥90%</w:t>
            </w:r>
          </w:p>
        </w:tc>
        <w:tc>
          <w:tcPr>
            <w:tcW w:w="62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服务对</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象满意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度指标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企业满意度</w:t>
            </w:r>
          </w:p>
        </w:tc>
        <w:tc>
          <w:tcPr>
            <w:tcW w:w="73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90%</w:t>
            </w:r>
          </w:p>
        </w:tc>
        <w:tc>
          <w:tcPr>
            <w:tcW w:w="86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≥90%</w:t>
            </w:r>
          </w:p>
        </w:tc>
      </w:tr>
    </w:tbl>
    <w:p>
      <w:pPr>
        <w:adjustRightInd w:val="0"/>
        <w:snapToGrid w:val="0"/>
        <w:spacing w:line="600" w:lineRule="exact"/>
        <w:ind w:firstLine="640" w:firstLineChars="200"/>
        <w:rPr>
          <w:rFonts w:ascii="仿宋_GB2312" w:hAnsi="楷体" w:eastAsia="仿宋_GB2312"/>
          <w:sz w:val="32"/>
          <w:szCs w:val="32"/>
        </w:rPr>
      </w:pPr>
    </w:p>
    <w:p>
      <w:pPr>
        <w:adjustRightInd w:val="0"/>
        <w:snapToGrid w:val="0"/>
        <w:spacing w:line="600" w:lineRule="exact"/>
        <w:rPr>
          <w:rFonts w:ascii="仿宋_GB2312" w:hAnsi="楷体" w:eastAsia="仿宋_GB2312"/>
          <w:sz w:val="32"/>
          <w:szCs w:val="32"/>
        </w:rPr>
      </w:pPr>
    </w:p>
    <w:p>
      <w:pPr>
        <w:adjustRightInd w:val="0"/>
        <w:snapToGrid w:val="0"/>
        <w:spacing w:line="600" w:lineRule="exact"/>
        <w:ind w:firstLine="803" w:firstLineChars="250"/>
        <w:rPr>
          <w:rFonts w:hint="eastAsia" w:ascii="仿宋_GB2312" w:hAnsi="楷体" w:eastAsia="仿宋_GB2312"/>
          <w:b/>
          <w:sz w:val="32"/>
          <w:szCs w:val="32"/>
        </w:rPr>
      </w:pPr>
      <w:r>
        <w:rPr>
          <w:rFonts w:hint="eastAsia" w:ascii="仿宋_GB2312" w:hAnsi="楷体" w:eastAsia="仿宋_GB2312"/>
          <w:b/>
          <w:sz w:val="32"/>
          <w:szCs w:val="32"/>
        </w:rPr>
        <w:t>2.“高职资助补助经费（中央资金）”项目。</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马鞍山师范高等专科学校始终坚持为党育人、为国育才的初心使命，严格落实立德树人要求，坚持把促进家庭经济困难学生成长成才作为学生资助工作的出发点和落脚点，积极构建资助育人质量提升体系。</w:t>
      </w:r>
    </w:p>
    <w:p>
      <w:pPr>
        <w:spacing w:line="600" w:lineRule="exact"/>
        <w:ind w:firstLine="585" w:firstLineChars="183"/>
        <w:rPr>
          <w:rFonts w:hint="eastAsia" w:ascii="仿宋_GB2312" w:hAnsi="楷体" w:eastAsia="仿宋_GB2312"/>
          <w:sz w:val="32"/>
          <w:szCs w:val="32"/>
        </w:rPr>
      </w:pPr>
      <w:r>
        <w:rPr>
          <w:rFonts w:hint="eastAsia" w:ascii="仿宋_GB2312" w:hAnsi="楷体" w:eastAsia="仿宋_GB2312"/>
          <w:sz w:val="32"/>
          <w:szCs w:val="32"/>
        </w:rPr>
        <w:t>（2）立项依据。构建物质帮助、道德浸润、能力拓展、精神激励有效融合的资助育人长效机制，着力培养受助学生自立自强、诚实守信、知恩感恩、勇于担当的良好品质。</w:t>
      </w:r>
    </w:p>
    <w:p>
      <w:pPr>
        <w:spacing w:line="600" w:lineRule="exact"/>
        <w:ind w:firstLine="585" w:firstLineChars="183"/>
        <w:rPr>
          <w:rFonts w:hint="eastAsia" w:ascii="仿宋_GB2312" w:hAnsi="楷体" w:eastAsia="仿宋_GB2312"/>
          <w:sz w:val="32"/>
          <w:szCs w:val="32"/>
          <w:u w:val="single"/>
        </w:rPr>
      </w:pPr>
      <w:r>
        <w:rPr>
          <w:rFonts w:hint="eastAsia" w:ascii="仿宋_GB2312" w:hAnsi="楷体" w:eastAsia="仿宋_GB2312"/>
          <w:sz w:val="32"/>
          <w:szCs w:val="32"/>
        </w:rPr>
        <w:t>（3）实施主体。马鞍山师范高等专科学校。</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rPr>
        <w:t>2022年。</w:t>
      </w:r>
    </w:p>
    <w:p>
      <w:pPr>
        <w:spacing w:line="600" w:lineRule="exact"/>
        <w:ind w:firstLine="642"/>
        <w:rPr>
          <w:rFonts w:hint="eastAsia" w:ascii="仿宋_GB2312" w:hAnsi="仿宋_GB2312" w:eastAsia="仿宋_GB2312" w:cs="仿宋_GB2312"/>
          <w:bCs/>
          <w:sz w:val="30"/>
          <w:szCs w:val="30"/>
        </w:rPr>
      </w:pPr>
      <w:r>
        <w:rPr>
          <w:rFonts w:hint="eastAsia" w:ascii="仿宋_GB2312" w:hAnsi="楷体" w:eastAsia="仿宋_GB2312"/>
          <w:sz w:val="32"/>
          <w:szCs w:val="32"/>
        </w:rPr>
        <w:t>（5）项目内容。为家庭困难的学生提供助学金。</w:t>
      </w:r>
    </w:p>
    <w:p>
      <w:pPr>
        <w:adjustRightInd w:val="0"/>
        <w:snapToGrid w:val="0"/>
        <w:spacing w:line="600" w:lineRule="exact"/>
        <w:ind w:firstLine="640" w:firstLineChars="200"/>
        <w:rPr>
          <w:rFonts w:ascii="宋体" w:hAnsi="宋体" w:eastAsia="仿宋_GB2312" w:cs="宋体"/>
          <w:color w:val="000000"/>
          <w:kern w:val="0"/>
          <w:sz w:val="18"/>
          <w:szCs w:val="18"/>
          <w:lang w:bidi="ar"/>
        </w:rPr>
      </w:pPr>
      <w:r>
        <w:rPr>
          <w:rFonts w:hint="eastAsia" w:ascii="仿宋_GB2312" w:hAnsi="楷体" w:eastAsia="仿宋_GB2312"/>
          <w:sz w:val="32"/>
          <w:szCs w:val="32"/>
        </w:rPr>
        <w:t>（6）年度预算安排。757.07万元。</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（7）绩效目标。合理界定贫困,将助学金发给最需要的人。</w:t>
      </w:r>
    </w:p>
    <w:tbl>
      <w:tblPr>
        <w:tblStyle w:val="5"/>
        <w:tblpPr w:leftFromText="180" w:rightFromText="180" w:vertAnchor="text" w:horzAnchor="page" w:tblpX="1514" w:tblpY="612"/>
        <w:tblOverlap w:val="never"/>
        <w:tblW w:w="9796" w:type="dxa"/>
        <w:tblInd w:w="0" w:type="dxa"/>
        <w:tblLayout w:type="fixed"/>
        <w:tblCellMar>
          <w:top w:w="0" w:type="dxa"/>
          <w:left w:w="108" w:type="dxa"/>
          <w:bottom w:w="0" w:type="dxa"/>
          <w:right w:w="108" w:type="dxa"/>
        </w:tblCellMar>
      </w:tblPr>
      <w:tblGrid>
        <w:gridCol w:w="416"/>
        <w:gridCol w:w="820"/>
        <w:gridCol w:w="940"/>
        <w:gridCol w:w="2000"/>
        <w:gridCol w:w="860"/>
        <w:gridCol w:w="791"/>
        <w:gridCol w:w="889"/>
        <w:gridCol w:w="1460"/>
        <w:gridCol w:w="936"/>
        <w:gridCol w:w="684"/>
      </w:tblGrid>
      <w:tr>
        <w:tblPrEx>
          <w:tblCellMar>
            <w:top w:w="0" w:type="dxa"/>
            <w:left w:w="108" w:type="dxa"/>
            <w:bottom w:w="0" w:type="dxa"/>
            <w:right w:w="108" w:type="dxa"/>
          </w:tblCellMar>
        </w:tblPrEx>
        <w:trPr>
          <w:trHeight w:val="360" w:hRule="atLeast"/>
        </w:trPr>
        <w:tc>
          <w:tcPr>
            <w:tcW w:w="9796" w:type="dxa"/>
            <w:gridSpan w:val="10"/>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default"/>
                <w:b/>
                <w:bCs/>
                <w:sz w:val="32"/>
                <w:szCs w:val="32"/>
              </w:rPr>
            </w:pPr>
          </w:p>
          <w:p>
            <w:pPr>
              <w:keepNext w:val="0"/>
              <w:keepLines w:val="0"/>
              <w:suppressLineNumbers w:val="0"/>
              <w:spacing w:before="0" w:beforeAutospacing="0" w:after="0" w:afterAutospacing="0"/>
              <w:ind w:left="0" w:right="0"/>
              <w:jc w:val="center"/>
              <w:rPr>
                <w:rFonts w:hint="default"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796" w:type="dxa"/>
            <w:gridSpan w:val="10"/>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（2022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项目名称</w:t>
            </w:r>
          </w:p>
        </w:tc>
        <w:tc>
          <w:tcPr>
            <w:tcW w:w="8560" w:type="dxa"/>
            <w:gridSpan w:val="8"/>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高职资助补助经费(中央资金)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实施单位</w:t>
            </w:r>
          </w:p>
        </w:tc>
        <w:tc>
          <w:tcPr>
            <w:tcW w:w="8560" w:type="dxa"/>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马鞍山师范高等专科学校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项目属性</w:t>
            </w:r>
          </w:p>
        </w:tc>
        <w:tc>
          <w:tcPr>
            <w:tcW w:w="8560" w:type="dxa"/>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常年项目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项目资金</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sz w:val="20"/>
                <w:szCs w:val="20"/>
              </w:rPr>
            </w:pPr>
            <w:r>
              <w:rPr>
                <w:rFonts w:hint="eastAsia" w:ascii="宋体" w:hAnsi="宋体" w:cs="宋体"/>
                <w:color w:val="000000"/>
                <w:kern w:val="0"/>
                <w:sz w:val="20"/>
                <w:szCs w:val="20"/>
                <w:lang w:bidi="ar"/>
              </w:rPr>
              <w:t>757.07</w:t>
            </w:r>
          </w:p>
        </w:tc>
        <w:tc>
          <w:tcPr>
            <w:tcW w:w="2349"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年度资金总额：</w:t>
            </w:r>
          </w:p>
        </w:tc>
        <w:tc>
          <w:tcPr>
            <w:tcW w:w="162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sz w:val="20"/>
                <w:szCs w:val="20"/>
              </w:rPr>
            </w:pPr>
            <w:r>
              <w:rPr>
                <w:rFonts w:hint="eastAsia" w:ascii="宋体" w:hAnsi="宋体" w:cs="宋体"/>
                <w:color w:val="000000"/>
                <w:kern w:val="0"/>
                <w:sz w:val="20"/>
                <w:szCs w:val="20"/>
                <w:lang w:bidi="ar"/>
              </w:rPr>
              <w:t>757.07</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sz w:val="20"/>
                <w:szCs w:val="20"/>
              </w:rPr>
            </w:pPr>
            <w:r>
              <w:rPr>
                <w:rFonts w:hint="eastAsia" w:ascii="宋体" w:hAnsi="宋体" w:cs="宋体"/>
                <w:color w:val="000000"/>
                <w:kern w:val="0"/>
                <w:sz w:val="20"/>
                <w:szCs w:val="20"/>
                <w:lang w:bidi="ar"/>
              </w:rPr>
              <w:t>757.07</w:t>
            </w:r>
          </w:p>
        </w:tc>
        <w:tc>
          <w:tcPr>
            <w:tcW w:w="2349"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其中：财政拨款</w:t>
            </w:r>
          </w:p>
        </w:tc>
        <w:tc>
          <w:tcPr>
            <w:tcW w:w="1620"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sz w:val="20"/>
                <w:szCs w:val="20"/>
              </w:rPr>
            </w:pPr>
            <w:r>
              <w:rPr>
                <w:rFonts w:hint="eastAsia" w:ascii="宋体" w:hAnsi="宋体" w:cs="宋体"/>
                <w:color w:val="000000"/>
                <w:kern w:val="0"/>
                <w:sz w:val="20"/>
                <w:szCs w:val="20"/>
                <w:lang w:bidi="ar"/>
              </w:rPr>
              <w:t>757.07</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　</w:t>
            </w:r>
          </w:p>
        </w:tc>
        <w:tc>
          <w:tcPr>
            <w:tcW w:w="2349"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其他资金</w:t>
            </w:r>
          </w:p>
        </w:tc>
        <w:tc>
          <w:tcPr>
            <w:tcW w:w="1620"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总</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体</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目</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中期目标（2022年—2022年）</w:t>
            </w:r>
          </w:p>
        </w:tc>
        <w:tc>
          <w:tcPr>
            <w:tcW w:w="3969"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pPr>
              <w:keepNext w:val="0"/>
              <w:keepLines w:val="0"/>
              <w:suppressLineNumbers w:val="0"/>
              <w:spacing w:before="0" w:beforeAutospacing="0" w:after="0" w:afterAutospacing="0"/>
              <w:ind w:left="0" w:right="0"/>
              <w:rPr>
                <w:rFonts w:hint="eastAsia" w:eastAsia="宋体"/>
                <w:sz w:val="20"/>
                <w:szCs w:val="20"/>
                <w:lang w:eastAsia="zh-CN"/>
              </w:rPr>
            </w:pPr>
            <w:r>
              <w:rPr>
                <w:rFonts w:hint="eastAsia"/>
                <w:sz w:val="20"/>
                <w:szCs w:val="20"/>
              </w:rPr>
              <w:t xml:space="preserve"> 目标1：严格按照国家法律及相关规定公平、公开、透明地做好全校学生资助工作，统筹诚信、感恩、励志等主题教育活动及“百千万”资助走访活动；</w:t>
            </w:r>
          </w:p>
          <w:p>
            <w:pPr>
              <w:keepNext w:val="0"/>
              <w:keepLines w:val="0"/>
              <w:suppressLineNumbers w:val="0"/>
              <w:spacing w:before="0" w:beforeAutospacing="0" w:after="0" w:afterAutospacing="0"/>
              <w:ind w:left="0" w:right="0"/>
              <w:rPr>
                <w:rFonts w:hint="eastAsia"/>
                <w:sz w:val="20"/>
                <w:szCs w:val="20"/>
              </w:rPr>
            </w:pPr>
            <w:r>
              <w:rPr>
                <w:rFonts w:hint="eastAsia"/>
                <w:sz w:val="20"/>
                <w:szCs w:val="20"/>
              </w:rPr>
              <w:t xml:space="preserve"> 目标2：做好国家奖学金、国家励志奖学金、国家助学金和校内奖助学金的评审工作；</w:t>
            </w:r>
          </w:p>
          <w:p>
            <w:pPr>
              <w:keepNext w:val="0"/>
              <w:keepLines w:val="0"/>
              <w:suppressLineNumbers w:val="0"/>
              <w:spacing w:before="0" w:beforeAutospacing="0" w:after="0" w:afterAutospacing="0"/>
              <w:ind w:left="0" w:right="0"/>
              <w:rPr>
                <w:rFonts w:hint="default"/>
                <w:sz w:val="20"/>
                <w:szCs w:val="20"/>
              </w:rPr>
            </w:pPr>
            <w:r>
              <w:rPr>
                <w:rFonts w:hint="eastAsia"/>
                <w:sz w:val="20"/>
                <w:szCs w:val="20"/>
              </w:rPr>
              <w:t>目标3：做好应征入伍服兵役学生国家资助工作及退役士兵教育资助工作。</w:t>
            </w:r>
          </w:p>
        </w:tc>
        <w:tc>
          <w:tcPr>
            <w:tcW w:w="3969" w:type="dxa"/>
            <w:gridSpan w:val="4"/>
            <w:tcBorders>
              <w:top w:val="single" w:color="auto" w:sz="4" w:space="0"/>
              <w:left w:val="single" w:color="auto" w:sz="4" w:space="0"/>
              <w:bottom w:val="single" w:color="auto"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sz w:val="20"/>
                <w:szCs w:val="20"/>
              </w:rPr>
            </w:pPr>
            <w:r>
              <w:rPr>
                <w:rFonts w:hint="eastAsia"/>
                <w:sz w:val="20"/>
                <w:szCs w:val="20"/>
              </w:rPr>
              <w:t>目标1：帮助困难学生完成学业；</w:t>
            </w:r>
          </w:p>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目标2：促进学校教育事业发展。</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绩</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效</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一级</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460" w:type="dxa"/>
            <w:tcBorders>
              <w:top w:val="nil"/>
              <w:left w:val="nil"/>
              <w:bottom w:val="single" w:color="auto" w:sz="4" w:space="0"/>
              <w:right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三级指标</w:t>
            </w:r>
          </w:p>
        </w:tc>
        <w:tc>
          <w:tcPr>
            <w:tcW w:w="936"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指标值</w:t>
            </w:r>
          </w:p>
        </w:tc>
        <w:tc>
          <w:tcPr>
            <w:tcW w:w="68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产</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出</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补助高职学生人数</w:t>
            </w:r>
          </w:p>
        </w:tc>
        <w:tc>
          <w:tcPr>
            <w:tcW w:w="8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3500人</w:t>
            </w:r>
          </w:p>
        </w:tc>
        <w:tc>
          <w:tcPr>
            <w:tcW w:w="7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≥3</w:t>
            </w:r>
            <w:r>
              <w:rPr>
                <w:rFonts w:hint="eastAsia"/>
                <w:sz w:val="20"/>
                <w:szCs w:val="20"/>
                <w:lang w:val="en-US" w:eastAsia="zh-CN"/>
              </w:rPr>
              <w:t>0</w:t>
            </w:r>
            <w:r>
              <w:rPr>
                <w:rFonts w:hint="eastAsia"/>
                <w:sz w:val="20"/>
                <w:szCs w:val="20"/>
              </w:rPr>
              <w:t>00人</w:t>
            </w:r>
          </w:p>
        </w:tc>
        <w:tc>
          <w:tcPr>
            <w:tcW w:w="889"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补助高职学生人数</w:t>
            </w:r>
          </w:p>
        </w:tc>
        <w:tc>
          <w:tcPr>
            <w:tcW w:w="93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3500人</w:t>
            </w:r>
          </w:p>
        </w:tc>
        <w:tc>
          <w:tcPr>
            <w:tcW w:w="68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≥3</w:t>
            </w:r>
            <w:r>
              <w:rPr>
                <w:rFonts w:hint="eastAsia"/>
                <w:sz w:val="20"/>
                <w:szCs w:val="20"/>
                <w:lang w:val="en-US" w:eastAsia="zh-CN"/>
              </w:rPr>
              <w:t>0</w:t>
            </w:r>
            <w:r>
              <w:rPr>
                <w:rFonts w:hint="eastAsia"/>
                <w:sz w:val="20"/>
                <w:szCs w:val="20"/>
              </w:rPr>
              <w:t>00人</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2022年对外招生数（高职）</w:t>
            </w:r>
          </w:p>
        </w:tc>
        <w:tc>
          <w:tcPr>
            <w:tcW w:w="8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2500人</w:t>
            </w:r>
          </w:p>
        </w:tc>
        <w:tc>
          <w:tcPr>
            <w:tcW w:w="7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≥2</w:t>
            </w:r>
            <w:r>
              <w:rPr>
                <w:rFonts w:hint="eastAsia"/>
                <w:sz w:val="20"/>
                <w:szCs w:val="20"/>
                <w:lang w:val="en-US" w:eastAsia="zh-CN"/>
              </w:rPr>
              <w:t>0</w:t>
            </w:r>
            <w:r>
              <w:rPr>
                <w:rFonts w:hint="eastAsia"/>
                <w:sz w:val="20"/>
                <w:szCs w:val="20"/>
              </w:rPr>
              <w:t>00人</w:t>
            </w:r>
          </w:p>
        </w:tc>
        <w:tc>
          <w:tcPr>
            <w:tcW w:w="889"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2022年对外招生数（高职）</w:t>
            </w:r>
          </w:p>
        </w:tc>
        <w:tc>
          <w:tcPr>
            <w:tcW w:w="93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2500人</w:t>
            </w:r>
          </w:p>
        </w:tc>
        <w:tc>
          <w:tcPr>
            <w:tcW w:w="68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≥2</w:t>
            </w:r>
            <w:r>
              <w:rPr>
                <w:rFonts w:hint="eastAsia"/>
                <w:sz w:val="20"/>
                <w:szCs w:val="20"/>
                <w:lang w:val="en-US" w:eastAsia="zh-CN"/>
              </w:rPr>
              <w:t>0</w:t>
            </w:r>
            <w:r>
              <w:rPr>
                <w:rFonts w:hint="eastAsia"/>
                <w:sz w:val="20"/>
                <w:szCs w:val="20"/>
              </w:rPr>
              <w:t>00人</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经费支出的合规性</w:t>
            </w:r>
          </w:p>
        </w:tc>
        <w:tc>
          <w:tcPr>
            <w:tcW w:w="8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符合相关规定</w:t>
            </w:r>
          </w:p>
        </w:tc>
        <w:tc>
          <w:tcPr>
            <w:tcW w:w="7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符合相关规定</w:t>
            </w:r>
          </w:p>
        </w:tc>
        <w:tc>
          <w:tcPr>
            <w:tcW w:w="88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经费支出的合规性</w:t>
            </w:r>
          </w:p>
        </w:tc>
        <w:tc>
          <w:tcPr>
            <w:tcW w:w="93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符合相关规定</w:t>
            </w:r>
          </w:p>
        </w:tc>
        <w:tc>
          <w:tcPr>
            <w:tcW w:w="68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符合相关规定</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经费支出及时性</w:t>
            </w:r>
          </w:p>
        </w:tc>
        <w:tc>
          <w:tcPr>
            <w:tcW w:w="8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2022年年底前完成资金支付</w:t>
            </w:r>
          </w:p>
        </w:tc>
        <w:tc>
          <w:tcPr>
            <w:tcW w:w="7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lang w:val="en-US" w:eastAsia="zh-CN"/>
              </w:rPr>
              <w:t>本年度内完成支付</w:t>
            </w:r>
          </w:p>
        </w:tc>
        <w:tc>
          <w:tcPr>
            <w:tcW w:w="88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 w:val="20"/>
                <w:szCs w:val="20"/>
              </w:rPr>
              <w:t>经费支出及时性</w:t>
            </w:r>
          </w:p>
        </w:tc>
        <w:tc>
          <w:tcPr>
            <w:tcW w:w="93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2022年年底前完成资金支付</w:t>
            </w:r>
          </w:p>
        </w:tc>
        <w:tc>
          <w:tcPr>
            <w:tcW w:w="68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olor w:val="000000"/>
                <w:sz w:val="20"/>
                <w:szCs w:val="24"/>
                <w:lang w:val="en-US" w:eastAsia="zh-CN"/>
              </w:rPr>
              <w:t>本年度内完成支付</w:t>
            </w: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项目总成本</w:t>
            </w:r>
          </w:p>
        </w:tc>
        <w:tc>
          <w:tcPr>
            <w:tcW w:w="8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757.07万元</w:t>
            </w:r>
          </w:p>
        </w:tc>
        <w:tc>
          <w:tcPr>
            <w:tcW w:w="7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ascii="宋体" w:hAnsi="宋体"/>
                <w:color w:val="000000"/>
                <w:sz w:val="20"/>
                <w:szCs w:val="24"/>
              </w:rPr>
              <w:t>≤</w:t>
            </w:r>
            <w:r>
              <w:rPr>
                <w:rFonts w:hint="eastAsia" w:ascii="宋体" w:hAnsi="宋体"/>
                <w:color w:val="000000"/>
                <w:sz w:val="20"/>
                <w:szCs w:val="24"/>
                <w:lang w:val="en-US" w:eastAsia="zh-CN"/>
              </w:rPr>
              <w:t>757.07万元</w:t>
            </w:r>
          </w:p>
        </w:tc>
        <w:tc>
          <w:tcPr>
            <w:tcW w:w="88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 w:val="20"/>
                <w:szCs w:val="20"/>
              </w:rPr>
              <w:t>项目总成本</w:t>
            </w:r>
          </w:p>
        </w:tc>
        <w:tc>
          <w:tcPr>
            <w:tcW w:w="93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757.07万元</w:t>
            </w:r>
          </w:p>
        </w:tc>
        <w:tc>
          <w:tcPr>
            <w:tcW w:w="68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olor w:val="000000"/>
                <w:sz w:val="20"/>
                <w:szCs w:val="24"/>
              </w:rPr>
              <w:t>≤</w:t>
            </w:r>
            <w:r>
              <w:rPr>
                <w:rFonts w:hint="eastAsia" w:ascii="宋体" w:hAnsi="宋体"/>
                <w:color w:val="000000"/>
                <w:sz w:val="20"/>
                <w:szCs w:val="24"/>
                <w:lang w:val="en-US" w:eastAsia="zh-CN"/>
              </w:rPr>
              <w:t>757.07万元</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效</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益</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 w:val="20"/>
                <w:szCs w:val="20"/>
              </w:rPr>
              <w:t>对服务支持经济发展能力的影响程度</w:t>
            </w:r>
          </w:p>
        </w:tc>
        <w:tc>
          <w:tcPr>
            <w:tcW w:w="8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影响程度较高</w:t>
            </w:r>
          </w:p>
        </w:tc>
        <w:tc>
          <w:tcPr>
            <w:tcW w:w="7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影响程度较高</w:t>
            </w:r>
          </w:p>
        </w:tc>
        <w:tc>
          <w:tcPr>
            <w:tcW w:w="88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经济效</w:t>
            </w:r>
          </w:p>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益指标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 w:val="20"/>
                <w:szCs w:val="20"/>
              </w:rPr>
              <w:t>对服务支持经济发展能力的影响程度</w:t>
            </w:r>
          </w:p>
        </w:tc>
        <w:tc>
          <w:tcPr>
            <w:tcW w:w="93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影响程度较高</w:t>
            </w:r>
          </w:p>
        </w:tc>
        <w:tc>
          <w:tcPr>
            <w:tcW w:w="68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保障学校履职，促进教育事业发展的影响程度</w:t>
            </w:r>
          </w:p>
        </w:tc>
        <w:tc>
          <w:tcPr>
            <w:tcW w:w="8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7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影响程度较高</w:t>
            </w:r>
          </w:p>
        </w:tc>
        <w:tc>
          <w:tcPr>
            <w:tcW w:w="88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社会效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益指标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保障学校履职，促进教育事业发展的影响程度</w:t>
            </w:r>
          </w:p>
        </w:tc>
        <w:tc>
          <w:tcPr>
            <w:tcW w:w="93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68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教育事业可持续发展</w:t>
            </w:r>
          </w:p>
        </w:tc>
        <w:tc>
          <w:tcPr>
            <w:tcW w:w="8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影响程度较高</w:t>
            </w:r>
          </w:p>
        </w:tc>
        <w:tc>
          <w:tcPr>
            <w:tcW w:w="7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影响程度较高</w:t>
            </w:r>
          </w:p>
        </w:tc>
        <w:tc>
          <w:tcPr>
            <w:tcW w:w="88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生态效益指标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教育事业可持续发展</w:t>
            </w:r>
          </w:p>
        </w:tc>
        <w:tc>
          <w:tcPr>
            <w:tcW w:w="93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影响程度较高</w:t>
            </w:r>
          </w:p>
        </w:tc>
        <w:tc>
          <w:tcPr>
            <w:tcW w:w="68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影响程度较高</w:t>
            </w:r>
          </w:p>
        </w:tc>
      </w:tr>
      <w:tr>
        <w:tblPrEx>
          <w:tblCellMar>
            <w:top w:w="0" w:type="dxa"/>
            <w:left w:w="108" w:type="dxa"/>
            <w:bottom w:w="0" w:type="dxa"/>
            <w:right w:w="108" w:type="dxa"/>
          </w:tblCellMar>
        </w:tblPrEx>
        <w:trPr>
          <w:trHeight w:val="1263"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可持续影响</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对解决家庭经济困难学生就学问题的影响程度</w:t>
            </w:r>
          </w:p>
        </w:tc>
        <w:tc>
          <w:tcPr>
            <w:tcW w:w="8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7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影响程度较高</w:t>
            </w:r>
          </w:p>
        </w:tc>
        <w:tc>
          <w:tcPr>
            <w:tcW w:w="88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可持续</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影响</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对解决家庭经济困难学生就学问题的影响程度</w:t>
            </w:r>
          </w:p>
        </w:tc>
        <w:tc>
          <w:tcPr>
            <w:tcW w:w="93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68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企业满意度</w:t>
            </w:r>
          </w:p>
        </w:tc>
        <w:tc>
          <w:tcPr>
            <w:tcW w:w="8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90%</w:t>
            </w:r>
          </w:p>
        </w:tc>
        <w:tc>
          <w:tcPr>
            <w:tcW w:w="79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≥90%</w:t>
            </w:r>
          </w:p>
        </w:tc>
        <w:tc>
          <w:tcPr>
            <w:tcW w:w="889"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服务对</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象满意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度指标</w:t>
            </w:r>
          </w:p>
        </w:tc>
        <w:tc>
          <w:tcPr>
            <w:tcW w:w="14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企业满意度</w:t>
            </w:r>
          </w:p>
        </w:tc>
        <w:tc>
          <w:tcPr>
            <w:tcW w:w="93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90%</w:t>
            </w:r>
          </w:p>
        </w:tc>
        <w:tc>
          <w:tcPr>
            <w:tcW w:w="68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≥90%</w:t>
            </w:r>
          </w:p>
        </w:tc>
      </w:tr>
    </w:tbl>
    <w:p>
      <w:pPr>
        <w:adjustRightInd w:val="0"/>
        <w:snapToGrid w:val="0"/>
        <w:spacing w:line="600" w:lineRule="exact"/>
        <w:ind w:firstLine="643" w:firstLineChars="200"/>
        <w:rPr>
          <w:rFonts w:hint="eastAsia" w:ascii="仿宋_GB2312" w:hAnsi="楷体" w:eastAsia="仿宋_GB2312"/>
          <w:b/>
          <w:sz w:val="32"/>
          <w:szCs w:val="32"/>
        </w:rPr>
      </w:pPr>
    </w:p>
    <w:p>
      <w:pPr>
        <w:adjustRightInd w:val="0"/>
        <w:snapToGrid w:val="0"/>
        <w:spacing w:line="600" w:lineRule="exact"/>
        <w:ind w:firstLine="643" w:firstLineChars="200"/>
        <w:rPr>
          <w:rFonts w:hint="eastAsia" w:ascii="仿宋_GB2312" w:hAnsi="楷体" w:eastAsia="仿宋_GB2312"/>
          <w:sz w:val="32"/>
          <w:szCs w:val="32"/>
        </w:rPr>
      </w:pPr>
      <w:r>
        <w:rPr>
          <w:rFonts w:hint="eastAsia" w:ascii="仿宋_GB2312" w:hAnsi="楷体" w:eastAsia="仿宋_GB2312"/>
          <w:b/>
          <w:sz w:val="32"/>
          <w:szCs w:val="32"/>
        </w:rPr>
        <w:t>3.“教育教学资金（非税列支）”项目。</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（1）项目概述。为满足学校教育教学工作需要，确保教育教学工作顺利开展，学校发生的办公支出、物业管理费、培训费、会议费、工会经费、医疗补助、三公经费、差旅费、资本性支出、奖助学金支出等。</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（2）立项依据。保障学校基本运转与日常教学活动的开展。</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（3）实施主体。马鞍山师范高等专科学校。</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（4）起止时间。2022年。</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（5）项目内容。马鞍山师范高等专科学校</w:t>
      </w:r>
      <w:r>
        <w:rPr>
          <w:rFonts w:hint="eastAsia" w:ascii="仿宋_GB2312" w:hAnsi="楷体" w:eastAsia="仿宋_GB2312"/>
          <w:color w:val="auto"/>
          <w:sz w:val="32"/>
          <w:szCs w:val="32"/>
        </w:rPr>
        <w:t>教育事业顺</w:t>
      </w:r>
      <w:r>
        <w:rPr>
          <w:rFonts w:hint="eastAsia" w:ascii="仿宋_GB2312" w:hAnsi="楷体" w:eastAsia="仿宋_GB2312"/>
          <w:sz w:val="32"/>
          <w:szCs w:val="32"/>
        </w:rPr>
        <w:t>利开展。</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（6）年度预算安排。703.38万元。</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（7）绩效目标。提供正常水电物业保障，负责校园美化和整洁有序，维护校园安全，保障教职工教学工作顺利开展。</w:t>
      </w:r>
    </w:p>
    <w:tbl>
      <w:tblPr>
        <w:tblStyle w:val="5"/>
        <w:tblpPr w:leftFromText="180" w:rightFromText="180" w:vertAnchor="text" w:horzAnchor="page" w:tblpX="1382" w:tblpY="606"/>
        <w:tblOverlap w:val="never"/>
        <w:tblW w:w="9990" w:type="dxa"/>
        <w:tblInd w:w="0" w:type="dxa"/>
        <w:tblLayout w:type="fixed"/>
        <w:tblCellMar>
          <w:top w:w="0" w:type="dxa"/>
          <w:left w:w="108" w:type="dxa"/>
          <w:bottom w:w="0" w:type="dxa"/>
          <w:right w:w="108" w:type="dxa"/>
        </w:tblCellMar>
      </w:tblPr>
      <w:tblGrid>
        <w:gridCol w:w="416"/>
        <w:gridCol w:w="820"/>
        <w:gridCol w:w="940"/>
        <w:gridCol w:w="2000"/>
        <w:gridCol w:w="864"/>
        <w:gridCol w:w="915"/>
        <w:gridCol w:w="840"/>
        <w:gridCol w:w="1345"/>
        <w:gridCol w:w="960"/>
        <w:gridCol w:w="890"/>
      </w:tblGrid>
      <w:tr>
        <w:tblPrEx>
          <w:tblCellMar>
            <w:top w:w="0" w:type="dxa"/>
            <w:left w:w="108" w:type="dxa"/>
            <w:bottom w:w="0" w:type="dxa"/>
            <w:right w:w="108" w:type="dxa"/>
          </w:tblCellMar>
        </w:tblPrEx>
        <w:trPr>
          <w:trHeight w:val="360" w:hRule="atLeast"/>
        </w:trPr>
        <w:tc>
          <w:tcPr>
            <w:tcW w:w="9990" w:type="dxa"/>
            <w:gridSpan w:val="10"/>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default"/>
                <w:b/>
                <w:bCs/>
                <w:sz w:val="32"/>
                <w:szCs w:val="32"/>
              </w:rPr>
            </w:pPr>
          </w:p>
          <w:p>
            <w:pPr>
              <w:keepNext w:val="0"/>
              <w:keepLines w:val="0"/>
              <w:suppressLineNumbers w:val="0"/>
              <w:spacing w:before="0" w:beforeAutospacing="0" w:after="0" w:afterAutospacing="0"/>
              <w:ind w:left="0" w:right="0"/>
              <w:jc w:val="center"/>
              <w:rPr>
                <w:rFonts w:hint="default"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990" w:type="dxa"/>
            <w:gridSpan w:val="10"/>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（2022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项目名称</w:t>
            </w:r>
          </w:p>
        </w:tc>
        <w:tc>
          <w:tcPr>
            <w:tcW w:w="8754" w:type="dxa"/>
            <w:gridSpan w:val="8"/>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教育教学资金（非税列支）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实施单位</w:t>
            </w:r>
          </w:p>
        </w:tc>
        <w:tc>
          <w:tcPr>
            <w:tcW w:w="8754" w:type="dxa"/>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马鞍山师范高等专科学校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项目属性</w:t>
            </w:r>
          </w:p>
        </w:tc>
        <w:tc>
          <w:tcPr>
            <w:tcW w:w="8754" w:type="dxa"/>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常年项目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项目资金</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中期资金总额：</w:t>
            </w:r>
          </w:p>
        </w:tc>
        <w:tc>
          <w:tcPr>
            <w:tcW w:w="177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color w:val="000000"/>
                <w:sz w:val="18"/>
                <w:szCs w:val="18"/>
              </w:rPr>
            </w:pPr>
            <w:r>
              <w:rPr>
                <w:rFonts w:hint="eastAsia" w:ascii="宋体" w:hAnsi="宋体" w:cs="宋体"/>
                <w:color w:val="000000"/>
                <w:kern w:val="0"/>
                <w:sz w:val="18"/>
                <w:szCs w:val="18"/>
                <w:lang w:bidi="ar"/>
              </w:rPr>
              <w:t xml:space="preserve">      703.38 </w:t>
            </w:r>
          </w:p>
        </w:tc>
        <w:tc>
          <w:tcPr>
            <w:tcW w:w="2185"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年度资金总额：</w:t>
            </w:r>
          </w:p>
        </w:tc>
        <w:tc>
          <w:tcPr>
            <w:tcW w:w="1850"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宋体" w:hAnsi="宋体" w:cs="宋体"/>
                <w:sz w:val="20"/>
                <w:szCs w:val="20"/>
              </w:rPr>
            </w:pPr>
            <w:r>
              <w:rPr>
                <w:rFonts w:hint="eastAsia" w:ascii="宋体" w:hAnsi="宋体" w:cs="宋体"/>
                <w:color w:val="000000"/>
                <w:kern w:val="0"/>
                <w:sz w:val="18"/>
                <w:szCs w:val="18"/>
                <w:lang w:bidi="ar"/>
              </w:rPr>
              <w:t xml:space="preserve">     703.38 </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其中：财政拨款</w:t>
            </w:r>
          </w:p>
        </w:tc>
        <w:tc>
          <w:tcPr>
            <w:tcW w:w="1779"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宋体" w:hAnsi="宋体" w:cs="宋体"/>
                <w:sz w:val="20"/>
                <w:szCs w:val="20"/>
              </w:rPr>
            </w:pPr>
            <w:r>
              <w:rPr>
                <w:rFonts w:hint="eastAsia"/>
                <w:sz w:val="20"/>
                <w:szCs w:val="20"/>
              </w:rPr>
              <w:t xml:space="preserve">　     </w:t>
            </w:r>
            <w:r>
              <w:rPr>
                <w:rFonts w:hint="eastAsia" w:ascii="宋体" w:hAnsi="宋体" w:cs="宋体"/>
                <w:color w:val="000000"/>
                <w:kern w:val="0"/>
                <w:sz w:val="18"/>
                <w:szCs w:val="18"/>
                <w:lang w:bidi="ar"/>
              </w:rPr>
              <w:t xml:space="preserve">  38.50 </w:t>
            </w:r>
          </w:p>
        </w:tc>
        <w:tc>
          <w:tcPr>
            <w:tcW w:w="2185"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其中：财政拨款</w:t>
            </w:r>
          </w:p>
        </w:tc>
        <w:tc>
          <w:tcPr>
            <w:tcW w:w="1850"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宋体" w:hAnsi="宋体" w:cs="宋体"/>
                <w:sz w:val="20"/>
                <w:szCs w:val="20"/>
              </w:rPr>
            </w:pPr>
            <w:r>
              <w:rPr>
                <w:rFonts w:hint="eastAsia" w:ascii="宋体" w:hAnsi="宋体" w:cs="宋体"/>
                <w:color w:val="000000"/>
                <w:kern w:val="0"/>
                <w:sz w:val="18"/>
                <w:szCs w:val="18"/>
                <w:lang w:bidi="ar"/>
              </w:rPr>
              <w:t xml:space="preserve">      38.50</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其他资金</w:t>
            </w:r>
          </w:p>
        </w:tc>
        <w:tc>
          <w:tcPr>
            <w:tcW w:w="1779"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宋体" w:hAnsi="宋体" w:cs="宋体"/>
                <w:sz w:val="20"/>
                <w:szCs w:val="20"/>
              </w:rPr>
            </w:pPr>
            <w:r>
              <w:rPr>
                <w:rFonts w:hint="eastAsia"/>
                <w:sz w:val="20"/>
                <w:szCs w:val="20"/>
              </w:rPr>
              <w:t xml:space="preserve">　  </w:t>
            </w:r>
            <w:r>
              <w:rPr>
                <w:rFonts w:hint="eastAsia" w:ascii="宋体" w:hAnsi="宋体" w:cs="宋体"/>
                <w:color w:val="000000"/>
                <w:kern w:val="0"/>
                <w:sz w:val="18"/>
                <w:szCs w:val="18"/>
                <w:lang w:bidi="ar"/>
              </w:rPr>
              <w:t xml:space="preserve">     664.88 </w:t>
            </w:r>
          </w:p>
        </w:tc>
        <w:tc>
          <w:tcPr>
            <w:tcW w:w="2185"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其他资金</w:t>
            </w:r>
          </w:p>
        </w:tc>
        <w:tc>
          <w:tcPr>
            <w:tcW w:w="1850"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宋体" w:hAnsi="宋体" w:cs="宋体"/>
                <w:sz w:val="20"/>
                <w:szCs w:val="20"/>
              </w:rPr>
            </w:pPr>
            <w:r>
              <w:rPr>
                <w:rFonts w:hint="eastAsia" w:ascii="宋体" w:hAnsi="宋体" w:cs="宋体"/>
                <w:color w:val="000000"/>
                <w:kern w:val="0"/>
                <w:sz w:val="18"/>
                <w:szCs w:val="18"/>
                <w:lang w:bidi="ar"/>
              </w:rPr>
              <w:t xml:space="preserve">     664.88</w:t>
            </w: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总</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体</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目</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5539" w:type="dxa"/>
            <w:gridSpan w:val="5"/>
            <w:tcBorders>
              <w:top w:val="single" w:color="auto" w:sz="4" w:space="0"/>
              <w:left w:val="nil"/>
              <w:bottom w:val="single" w:color="auto" w:sz="4" w:space="0"/>
              <w:right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中期目标（2022年—2022年）</w:t>
            </w:r>
          </w:p>
        </w:tc>
        <w:tc>
          <w:tcPr>
            <w:tcW w:w="4035"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5539" w:type="dxa"/>
            <w:gridSpan w:val="5"/>
            <w:tcBorders>
              <w:top w:val="single" w:color="auto" w:sz="4" w:space="0"/>
              <w:left w:val="nil"/>
              <w:bottom w:val="single" w:color="auto" w:sz="4" w:space="0"/>
              <w:right w:val="nil"/>
            </w:tcBorders>
            <w:noWrap w:val="0"/>
            <w:vAlign w:val="top"/>
          </w:tcPr>
          <w:p>
            <w:pPr>
              <w:keepNext w:val="0"/>
              <w:keepLines w:val="0"/>
              <w:suppressLineNumbers w:val="0"/>
              <w:spacing w:before="0" w:beforeAutospacing="0" w:after="0" w:afterAutospacing="0"/>
              <w:ind w:left="0" w:right="0"/>
              <w:rPr>
                <w:rFonts w:hint="eastAsia" w:eastAsia="宋体"/>
                <w:sz w:val="20"/>
                <w:szCs w:val="20"/>
                <w:lang w:eastAsia="zh-CN"/>
              </w:rPr>
            </w:pPr>
            <w:r>
              <w:rPr>
                <w:rFonts w:hint="eastAsia"/>
                <w:sz w:val="20"/>
                <w:szCs w:val="20"/>
              </w:rPr>
              <w:t xml:space="preserve"> 目标1：提供正常水电物业保障；</w:t>
            </w:r>
          </w:p>
          <w:p>
            <w:pPr>
              <w:keepNext w:val="0"/>
              <w:keepLines w:val="0"/>
              <w:suppressLineNumbers w:val="0"/>
              <w:spacing w:before="0" w:beforeAutospacing="0" w:after="0" w:afterAutospacing="0"/>
              <w:ind w:left="0" w:right="0"/>
              <w:rPr>
                <w:rFonts w:hint="eastAsia" w:eastAsia="宋体"/>
                <w:sz w:val="20"/>
                <w:szCs w:val="20"/>
                <w:lang w:eastAsia="zh-CN"/>
              </w:rPr>
            </w:pPr>
            <w:r>
              <w:rPr>
                <w:rFonts w:hint="eastAsia"/>
                <w:sz w:val="20"/>
                <w:szCs w:val="20"/>
              </w:rPr>
              <w:t xml:space="preserve"> 目标2：校园美化和整洁有序；</w:t>
            </w:r>
          </w:p>
          <w:p>
            <w:pPr>
              <w:keepNext w:val="0"/>
              <w:keepLines w:val="0"/>
              <w:suppressLineNumbers w:val="0"/>
              <w:spacing w:before="0" w:beforeAutospacing="0" w:after="0" w:afterAutospacing="0"/>
              <w:ind w:left="0" w:right="0"/>
              <w:rPr>
                <w:rFonts w:hint="eastAsia"/>
                <w:sz w:val="20"/>
                <w:szCs w:val="20"/>
              </w:rPr>
            </w:pPr>
            <w:r>
              <w:rPr>
                <w:rFonts w:hint="eastAsia"/>
                <w:sz w:val="20"/>
                <w:szCs w:val="20"/>
              </w:rPr>
              <w:t xml:space="preserve"> 目标3：维护校园安全；</w:t>
            </w:r>
          </w:p>
          <w:p>
            <w:pPr>
              <w:keepNext w:val="0"/>
              <w:keepLines w:val="0"/>
              <w:suppressLineNumbers w:val="0"/>
              <w:spacing w:before="0" w:beforeAutospacing="0" w:after="0" w:afterAutospacing="0"/>
              <w:ind w:left="0" w:right="0"/>
              <w:rPr>
                <w:rFonts w:hint="default"/>
                <w:sz w:val="20"/>
                <w:szCs w:val="20"/>
              </w:rPr>
            </w:pPr>
            <w:r>
              <w:rPr>
                <w:rFonts w:hint="eastAsia"/>
                <w:sz w:val="20"/>
                <w:szCs w:val="20"/>
              </w:rPr>
              <w:t xml:space="preserve"> 目标4：保障教职工教学工作顺利开展。</w:t>
            </w:r>
          </w:p>
        </w:tc>
        <w:tc>
          <w:tcPr>
            <w:tcW w:w="4035" w:type="dxa"/>
            <w:gridSpan w:val="4"/>
            <w:tcBorders>
              <w:top w:val="single" w:color="auto" w:sz="4" w:space="0"/>
              <w:left w:val="single" w:color="auto" w:sz="4" w:space="0"/>
              <w:bottom w:val="single" w:color="auto"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eastAsia="宋体"/>
                <w:sz w:val="20"/>
                <w:szCs w:val="20"/>
                <w:lang w:eastAsia="zh-CN"/>
              </w:rPr>
            </w:pPr>
            <w:r>
              <w:rPr>
                <w:rFonts w:hint="eastAsia"/>
                <w:sz w:val="20"/>
                <w:szCs w:val="20"/>
              </w:rPr>
              <w:t xml:space="preserve"> 目标1：</w:t>
            </w:r>
            <w:r>
              <w:rPr>
                <w:rFonts w:hint="default" w:ascii="Arial" w:hAnsi="Arial" w:cs="Arial"/>
                <w:color w:val="333333"/>
                <w:sz w:val="19"/>
                <w:szCs w:val="19"/>
              </w:rPr>
              <w:t>持续加强产教融合</w:t>
            </w:r>
            <w:r>
              <w:rPr>
                <w:rFonts w:hint="eastAsia" w:ascii="Arial" w:hAnsi="Arial" w:cs="Arial"/>
                <w:color w:val="333333"/>
                <w:sz w:val="19"/>
                <w:szCs w:val="19"/>
              </w:rPr>
              <w:t>，</w:t>
            </w:r>
            <w:r>
              <w:rPr>
                <w:rFonts w:hint="default" w:ascii="Arial" w:hAnsi="Arial" w:cs="Arial"/>
                <w:color w:val="333333"/>
                <w:sz w:val="19"/>
                <w:szCs w:val="19"/>
              </w:rPr>
              <w:t>推行“工学一体化、教学做合一”的人才培养模式</w:t>
            </w:r>
            <w:r>
              <w:rPr>
                <w:rFonts w:hint="eastAsia"/>
                <w:sz w:val="20"/>
                <w:szCs w:val="20"/>
              </w:rPr>
              <w:t>；</w:t>
            </w:r>
          </w:p>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目标2：</w:t>
            </w:r>
            <w:r>
              <w:rPr>
                <w:rFonts w:hint="default" w:ascii="Arial" w:hAnsi="Arial" w:cs="Arial"/>
                <w:color w:val="333333"/>
                <w:sz w:val="19"/>
                <w:szCs w:val="19"/>
              </w:rPr>
              <w:t>深入推进内涵建设</w:t>
            </w:r>
            <w:r>
              <w:rPr>
                <w:rFonts w:hint="eastAsia" w:ascii="Arial" w:hAnsi="Arial" w:cs="Arial"/>
                <w:color w:val="333333"/>
                <w:sz w:val="19"/>
                <w:szCs w:val="19"/>
              </w:rPr>
              <w:t>，</w:t>
            </w:r>
            <w:r>
              <w:rPr>
                <w:rFonts w:hint="default" w:ascii="Arial" w:hAnsi="Arial" w:cs="Arial"/>
                <w:color w:val="333333"/>
                <w:sz w:val="19"/>
                <w:szCs w:val="19"/>
              </w:rPr>
              <w:t>对标达标、补齐短板，进一步提升人才培养质量与社会影响力</w:t>
            </w:r>
            <w:r>
              <w:rPr>
                <w:rFonts w:hint="eastAsia"/>
                <w:sz w:val="20"/>
                <w:szCs w:val="20"/>
              </w:rPr>
              <w:t>。</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绩</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效</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一级</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三级指标</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指标值</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绩效标准</w:t>
            </w:r>
          </w:p>
        </w:tc>
        <w:tc>
          <w:tcPr>
            <w:tcW w:w="8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345" w:type="dxa"/>
            <w:tcBorders>
              <w:top w:val="nil"/>
              <w:left w:val="nil"/>
              <w:bottom w:val="single" w:color="auto" w:sz="4" w:space="0"/>
              <w:right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三级指标</w:t>
            </w:r>
          </w:p>
        </w:tc>
        <w:tc>
          <w:tcPr>
            <w:tcW w:w="960"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指标值</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63"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产</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出</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工会活动开展次数</w:t>
            </w:r>
          </w:p>
        </w:tc>
        <w:tc>
          <w:tcPr>
            <w:tcW w:w="86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r>
              <w:rPr>
                <w:rFonts w:hint="eastAsia" w:ascii="宋体" w:hAnsi="宋体" w:cs="宋体"/>
                <w:color w:val="000000"/>
                <w:kern w:val="0"/>
                <w:sz w:val="20"/>
                <w:szCs w:val="20"/>
                <w:lang w:bidi="ar"/>
              </w:rPr>
              <w:t>18次</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5</w:t>
            </w:r>
            <w:r>
              <w:rPr>
                <w:rFonts w:hint="eastAsia" w:ascii="宋体" w:hAnsi="宋体" w:cs="宋体"/>
                <w:color w:val="000000"/>
                <w:kern w:val="0"/>
                <w:sz w:val="20"/>
                <w:szCs w:val="20"/>
                <w:lang w:bidi="ar"/>
              </w:rPr>
              <w:t>次</w:t>
            </w:r>
          </w:p>
        </w:tc>
        <w:tc>
          <w:tcPr>
            <w:tcW w:w="840"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工会活动开展次数</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20"/>
                <w:szCs w:val="20"/>
              </w:rPr>
            </w:pPr>
            <w:r>
              <w:rPr>
                <w:rFonts w:hint="eastAsia" w:ascii="宋体" w:hAnsi="宋体" w:cs="宋体"/>
                <w:color w:val="000000"/>
                <w:kern w:val="0"/>
                <w:sz w:val="20"/>
                <w:szCs w:val="20"/>
                <w:lang w:bidi="ar"/>
              </w:rPr>
              <w:t>18次</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15</w:t>
            </w:r>
            <w:r>
              <w:rPr>
                <w:rFonts w:hint="eastAsia" w:ascii="宋体" w:hAnsi="宋体" w:cs="宋体"/>
                <w:color w:val="000000"/>
                <w:kern w:val="0"/>
                <w:sz w:val="20"/>
                <w:szCs w:val="20"/>
                <w:lang w:bidi="ar"/>
              </w:rPr>
              <w:t>次</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发放劳务费人数</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105人</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≥10</w:t>
            </w:r>
            <w:r>
              <w:rPr>
                <w:rFonts w:hint="eastAsia" w:ascii="宋体" w:hAnsi="宋体"/>
                <w:color w:val="000000"/>
                <w:sz w:val="20"/>
                <w:szCs w:val="24"/>
                <w:lang w:val="en-US" w:eastAsia="zh-CN"/>
              </w:rPr>
              <w:t>0</w:t>
            </w:r>
            <w:r>
              <w:rPr>
                <w:rFonts w:hint="eastAsia" w:ascii="宋体" w:hAnsi="宋体"/>
                <w:color w:val="000000"/>
                <w:sz w:val="20"/>
                <w:szCs w:val="24"/>
              </w:rPr>
              <w:t>人</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发放劳务费人数</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105人</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≥10</w:t>
            </w:r>
            <w:r>
              <w:rPr>
                <w:rFonts w:hint="eastAsia" w:ascii="宋体" w:hAnsi="宋体"/>
                <w:color w:val="000000"/>
                <w:sz w:val="20"/>
                <w:szCs w:val="24"/>
                <w:lang w:val="en-US" w:eastAsia="zh-CN"/>
              </w:rPr>
              <w:t>0</w:t>
            </w:r>
            <w:r>
              <w:rPr>
                <w:rFonts w:hint="eastAsia" w:ascii="宋体" w:hAnsi="宋体"/>
                <w:color w:val="000000"/>
                <w:sz w:val="20"/>
                <w:szCs w:val="24"/>
              </w:rPr>
              <w:t>人</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公务用车使用次数</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260次</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≥2</w:t>
            </w:r>
            <w:r>
              <w:rPr>
                <w:rFonts w:hint="eastAsia" w:ascii="宋体" w:hAnsi="宋体"/>
                <w:color w:val="000000"/>
                <w:sz w:val="20"/>
                <w:szCs w:val="24"/>
                <w:lang w:val="en-US" w:eastAsia="zh-CN"/>
              </w:rPr>
              <w:t>00</w:t>
            </w:r>
            <w:r>
              <w:rPr>
                <w:rFonts w:hint="eastAsia" w:ascii="宋体" w:hAnsi="宋体"/>
                <w:color w:val="000000"/>
                <w:sz w:val="20"/>
                <w:szCs w:val="24"/>
              </w:rPr>
              <w:t>次</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公务用车使用次数</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260次</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≥2</w:t>
            </w:r>
            <w:r>
              <w:rPr>
                <w:rFonts w:hint="eastAsia" w:ascii="宋体" w:hAnsi="宋体"/>
                <w:color w:val="000000"/>
                <w:sz w:val="20"/>
                <w:szCs w:val="24"/>
                <w:lang w:val="en-US" w:eastAsia="zh-CN"/>
              </w:rPr>
              <w:t>00</w:t>
            </w:r>
            <w:r>
              <w:rPr>
                <w:rFonts w:hint="eastAsia" w:ascii="宋体" w:hAnsi="宋体"/>
                <w:color w:val="000000"/>
                <w:sz w:val="20"/>
                <w:szCs w:val="24"/>
              </w:rPr>
              <w:t>次</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承担考试次数</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8次</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w:t>
            </w:r>
            <w:r>
              <w:rPr>
                <w:rFonts w:hint="eastAsia" w:ascii="宋体" w:hAnsi="宋体"/>
                <w:color w:val="000000"/>
                <w:sz w:val="20"/>
                <w:szCs w:val="24"/>
                <w:lang w:val="en-US" w:eastAsia="zh-CN"/>
              </w:rPr>
              <w:t>6</w:t>
            </w:r>
            <w:r>
              <w:rPr>
                <w:rFonts w:hint="eastAsia" w:ascii="宋体" w:hAnsi="宋体"/>
                <w:color w:val="000000"/>
                <w:sz w:val="20"/>
                <w:szCs w:val="24"/>
              </w:rPr>
              <w:t>次</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承担考试次数</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8次</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w:t>
            </w:r>
            <w:r>
              <w:rPr>
                <w:rFonts w:hint="eastAsia" w:ascii="宋体" w:hAnsi="宋体"/>
                <w:color w:val="000000"/>
                <w:sz w:val="20"/>
                <w:szCs w:val="24"/>
                <w:lang w:val="en-US" w:eastAsia="zh-CN"/>
              </w:rPr>
              <w:t>6</w:t>
            </w:r>
            <w:r>
              <w:rPr>
                <w:rFonts w:hint="eastAsia" w:ascii="宋体" w:hAnsi="宋体"/>
                <w:color w:val="000000"/>
                <w:sz w:val="20"/>
                <w:szCs w:val="24"/>
              </w:rPr>
              <w:t>次</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日常维修次数和面积</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5次</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w:t>
            </w:r>
            <w:r>
              <w:rPr>
                <w:rFonts w:hint="eastAsia" w:ascii="宋体" w:hAnsi="宋体"/>
                <w:color w:val="000000"/>
                <w:sz w:val="20"/>
                <w:szCs w:val="24"/>
                <w:lang w:val="en-US" w:eastAsia="zh-CN"/>
              </w:rPr>
              <w:t>3</w:t>
            </w:r>
            <w:r>
              <w:rPr>
                <w:rFonts w:hint="eastAsia" w:ascii="宋体" w:hAnsi="宋体"/>
                <w:color w:val="000000"/>
                <w:sz w:val="20"/>
                <w:szCs w:val="24"/>
              </w:rPr>
              <w:t>次</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日常维修次数和面积</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5次</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w:t>
            </w:r>
            <w:r>
              <w:rPr>
                <w:rFonts w:hint="eastAsia" w:ascii="宋体" w:hAnsi="宋体"/>
                <w:color w:val="000000"/>
                <w:sz w:val="20"/>
                <w:szCs w:val="24"/>
                <w:lang w:val="en-US" w:eastAsia="zh-CN"/>
              </w:rPr>
              <w:t>3</w:t>
            </w:r>
            <w:r>
              <w:rPr>
                <w:rFonts w:hint="eastAsia" w:ascii="宋体" w:hAnsi="宋体"/>
                <w:color w:val="000000"/>
                <w:sz w:val="20"/>
                <w:szCs w:val="24"/>
              </w:rPr>
              <w:t>次</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校园网站、微信公众号维护次数</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10次</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w:t>
            </w:r>
            <w:r>
              <w:rPr>
                <w:rFonts w:hint="eastAsia" w:ascii="宋体" w:hAnsi="宋体"/>
                <w:color w:val="000000"/>
                <w:sz w:val="20"/>
                <w:szCs w:val="24"/>
                <w:lang w:val="en-US" w:eastAsia="zh-CN"/>
              </w:rPr>
              <w:t>8</w:t>
            </w:r>
            <w:r>
              <w:rPr>
                <w:rFonts w:hint="eastAsia" w:ascii="宋体" w:hAnsi="宋体"/>
                <w:color w:val="000000"/>
                <w:sz w:val="20"/>
                <w:szCs w:val="24"/>
              </w:rPr>
              <w:t>次</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校园网站、微信公众号维护次数</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10次</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w:t>
            </w:r>
            <w:r>
              <w:rPr>
                <w:rFonts w:hint="eastAsia" w:ascii="宋体" w:hAnsi="宋体"/>
                <w:color w:val="000000"/>
                <w:sz w:val="20"/>
                <w:szCs w:val="24"/>
                <w:lang w:val="en-US" w:eastAsia="zh-CN"/>
              </w:rPr>
              <w:t>8</w:t>
            </w:r>
            <w:r>
              <w:rPr>
                <w:rFonts w:hint="eastAsia" w:ascii="宋体" w:hAnsi="宋体"/>
                <w:color w:val="000000"/>
                <w:sz w:val="20"/>
                <w:szCs w:val="24"/>
              </w:rPr>
              <w:t>次</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补助中职学生人数</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790人</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≥7</w:t>
            </w:r>
            <w:r>
              <w:rPr>
                <w:rFonts w:hint="eastAsia" w:ascii="宋体" w:hAnsi="宋体"/>
                <w:color w:val="000000"/>
                <w:sz w:val="20"/>
                <w:szCs w:val="24"/>
                <w:lang w:val="en-US" w:eastAsia="zh-CN"/>
              </w:rPr>
              <w:t>0</w:t>
            </w:r>
            <w:r>
              <w:rPr>
                <w:rFonts w:hint="eastAsia" w:ascii="宋体" w:hAnsi="宋体"/>
                <w:color w:val="000000"/>
                <w:sz w:val="20"/>
                <w:szCs w:val="24"/>
              </w:rPr>
              <w:t>0人</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补助中职学生人数</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790人</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≥7</w:t>
            </w:r>
            <w:r>
              <w:rPr>
                <w:rFonts w:hint="eastAsia" w:ascii="宋体" w:hAnsi="宋体"/>
                <w:color w:val="000000"/>
                <w:sz w:val="20"/>
                <w:szCs w:val="24"/>
                <w:lang w:val="en-US" w:eastAsia="zh-CN"/>
              </w:rPr>
              <w:t>0</w:t>
            </w:r>
            <w:r>
              <w:rPr>
                <w:rFonts w:hint="eastAsia" w:ascii="宋体" w:hAnsi="宋体"/>
                <w:color w:val="000000"/>
                <w:sz w:val="20"/>
                <w:szCs w:val="24"/>
              </w:rPr>
              <w:t>0人</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物业管理面积</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130000平方米</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130000平方米</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物业管理面积</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130000平方米</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130000平方米</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eastAsia" w:ascii="宋体" w:hAnsi="宋体"/>
                <w:color w:val="000000"/>
                <w:sz w:val="20"/>
                <w:szCs w:val="24"/>
              </w:rPr>
              <w:t>工会活动开展合规性</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eastAsia" w:ascii="宋体" w:hAnsi="宋体"/>
                <w:color w:val="000000"/>
                <w:sz w:val="20"/>
                <w:szCs w:val="24"/>
              </w:rPr>
              <w:t>符合相关规定</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符合相关规定</w:t>
            </w:r>
          </w:p>
        </w:tc>
        <w:tc>
          <w:tcPr>
            <w:tcW w:w="840"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eastAsia" w:ascii="宋体" w:hAnsi="宋体"/>
                <w:color w:val="000000"/>
                <w:sz w:val="20"/>
                <w:szCs w:val="24"/>
              </w:rPr>
              <w:t>工会活动开展合规性</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eastAsia" w:ascii="宋体" w:hAnsi="宋体"/>
                <w:color w:val="000000"/>
                <w:sz w:val="20"/>
                <w:szCs w:val="24"/>
              </w:rPr>
              <w:t>符合相关规定</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符合相关规定</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“双师型”教师比例</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50%</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eastAsia="宋体"/>
                <w:sz w:val="20"/>
                <w:szCs w:val="20"/>
                <w:lang w:val="en-US" w:eastAsia="zh-CN"/>
              </w:rPr>
            </w:pPr>
            <w:r>
              <w:rPr>
                <w:rFonts w:hint="eastAsia" w:ascii="宋体" w:hAnsi="宋体"/>
                <w:color w:val="000000"/>
                <w:sz w:val="20"/>
                <w:szCs w:val="24"/>
              </w:rPr>
              <w:t>≥</w:t>
            </w:r>
            <w:r>
              <w:rPr>
                <w:rFonts w:hint="eastAsia" w:ascii="宋体" w:hAnsi="宋体"/>
                <w:color w:val="000000"/>
                <w:sz w:val="20"/>
                <w:szCs w:val="24"/>
                <w:lang w:val="en-US" w:eastAsia="zh-CN"/>
              </w:rPr>
              <w:t>50%</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“双师型”教师比例</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50%</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w:t>
            </w:r>
            <w:r>
              <w:rPr>
                <w:rFonts w:hint="eastAsia" w:ascii="宋体" w:hAnsi="宋体"/>
                <w:color w:val="000000"/>
                <w:sz w:val="20"/>
                <w:szCs w:val="24"/>
                <w:lang w:val="en-US" w:eastAsia="zh-CN"/>
              </w:rPr>
              <w:t>50%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承担国家级和省级考试完成情况的合规性</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符合相关规定</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符合相关规定</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承担国家级和省级考试完成情况的合规性</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符合相关规定</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符合相关规定</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经费支出的合规性</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符合相关规定</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符合相关规定</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经费支出的合规性</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符合相关规定</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符合相关规定</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日常维修项目验收合格率</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95%</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≥9</w:t>
            </w:r>
            <w:r>
              <w:rPr>
                <w:rFonts w:hint="eastAsia" w:ascii="宋体" w:hAnsi="宋体"/>
                <w:color w:val="000000"/>
                <w:sz w:val="20"/>
                <w:szCs w:val="24"/>
                <w:lang w:val="en-US" w:eastAsia="zh-CN"/>
              </w:rPr>
              <w:t>0</w:t>
            </w:r>
            <w:r>
              <w:rPr>
                <w:rFonts w:hint="eastAsia" w:ascii="宋体" w:hAnsi="宋体"/>
                <w:color w:val="000000"/>
                <w:sz w:val="20"/>
                <w:szCs w:val="24"/>
              </w:rPr>
              <w:t>%</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日常维修项目验收合格率</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95%</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≥9</w:t>
            </w:r>
            <w:r>
              <w:rPr>
                <w:rFonts w:hint="eastAsia" w:ascii="宋体" w:hAnsi="宋体"/>
                <w:color w:val="000000"/>
                <w:sz w:val="20"/>
                <w:szCs w:val="24"/>
                <w:lang w:val="en-US" w:eastAsia="zh-CN"/>
              </w:rPr>
              <w:t>0</w:t>
            </w:r>
            <w:r>
              <w:rPr>
                <w:rFonts w:hint="eastAsia" w:ascii="宋体" w:hAnsi="宋体"/>
                <w:color w:val="000000"/>
                <w:sz w:val="20"/>
                <w:szCs w:val="24"/>
              </w:rPr>
              <w:t>%</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学校官网、公众号与教务系统运行合规性</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符合相关规定</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符合相关规定</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学校官网、公众号与教务系统运行合规性</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符合相关规定</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符合相关规定</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eastAsia" w:ascii="宋体" w:hAnsi="宋体"/>
                <w:color w:val="000000"/>
                <w:sz w:val="20"/>
                <w:szCs w:val="24"/>
              </w:rPr>
              <w:t>经费支出及时性</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default" w:ascii="宋体" w:hAnsi="宋体"/>
                <w:color w:val="000000"/>
                <w:sz w:val="20"/>
                <w:szCs w:val="24"/>
              </w:rPr>
              <w:t>2022年年底前完成资金支付</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lang w:val="en-US" w:eastAsia="zh-CN"/>
              </w:rPr>
            </w:pPr>
            <w:r>
              <w:rPr>
                <w:rFonts w:hint="eastAsia" w:ascii="宋体" w:hAnsi="宋体"/>
                <w:color w:val="000000"/>
                <w:sz w:val="20"/>
                <w:szCs w:val="24"/>
                <w:lang w:val="en-US" w:eastAsia="zh-CN"/>
              </w:rPr>
              <w:t>本年度内完成支付</w:t>
            </w:r>
          </w:p>
        </w:tc>
        <w:tc>
          <w:tcPr>
            <w:tcW w:w="8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eastAsia" w:ascii="宋体" w:hAnsi="宋体"/>
                <w:color w:val="000000"/>
                <w:sz w:val="20"/>
                <w:szCs w:val="24"/>
              </w:rPr>
              <w:t>经费支出及时性</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default" w:ascii="宋体" w:hAnsi="宋体"/>
                <w:color w:val="000000"/>
                <w:sz w:val="20"/>
                <w:szCs w:val="24"/>
              </w:rPr>
              <w:t>2022年年底前完成资金支付</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lang w:val="en-US" w:eastAsia="zh-CN"/>
              </w:rPr>
              <w:t>本年度内完成支付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项目总成本</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lang w:val="en-US" w:eastAsia="zh-CN"/>
              </w:rPr>
            </w:pPr>
            <w:r>
              <w:rPr>
                <w:rFonts w:hint="eastAsia" w:ascii="宋体" w:hAnsi="宋体"/>
                <w:color w:val="000000"/>
                <w:sz w:val="20"/>
                <w:szCs w:val="24"/>
                <w:lang w:val="en-US" w:eastAsia="zh-CN"/>
              </w:rPr>
              <w:t>703.38万元</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lang w:val="en-US" w:eastAsia="zh-CN"/>
              </w:rPr>
            </w:pPr>
            <w:r>
              <w:rPr>
                <w:rFonts w:hint="eastAsia" w:ascii="宋体" w:hAnsi="宋体"/>
                <w:color w:val="000000"/>
                <w:sz w:val="20"/>
                <w:szCs w:val="24"/>
              </w:rPr>
              <w:t>≤</w:t>
            </w:r>
            <w:r>
              <w:rPr>
                <w:rFonts w:hint="eastAsia" w:ascii="宋体" w:hAnsi="宋体"/>
                <w:color w:val="000000"/>
                <w:sz w:val="20"/>
                <w:szCs w:val="24"/>
                <w:lang w:val="en-US" w:eastAsia="zh-CN"/>
              </w:rPr>
              <w:t>703.38万元</w:t>
            </w:r>
          </w:p>
        </w:tc>
        <w:tc>
          <w:tcPr>
            <w:tcW w:w="8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项目总成本</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lang w:val="en-US" w:eastAsia="zh-CN"/>
              </w:rPr>
              <w:t>703.38万元</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w:t>
            </w:r>
            <w:r>
              <w:rPr>
                <w:rFonts w:hint="eastAsia" w:ascii="宋体" w:hAnsi="宋体"/>
                <w:color w:val="000000"/>
                <w:sz w:val="20"/>
                <w:szCs w:val="24"/>
                <w:lang w:val="en-US" w:eastAsia="zh-CN"/>
              </w:rPr>
              <w:t>703.38万元</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效</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益</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对服务支出经济发展能力的影响程度</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影响程度较高</w:t>
            </w:r>
          </w:p>
        </w:tc>
        <w:tc>
          <w:tcPr>
            <w:tcW w:w="8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经济效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益指标</w:t>
            </w: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对服务支出经济发展能力的影响程度</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保障学校基本运转，提供高质量的教学服务，提升教育质量</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影响程度较高</w:t>
            </w:r>
          </w:p>
        </w:tc>
        <w:tc>
          <w:tcPr>
            <w:tcW w:w="840"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社会效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益指标</w:t>
            </w: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保障学校基本运转，提供高质量的教学服务，提升教育质量</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改善学校环境，营造更好的学习气氛</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影响程度较高</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kern w:val="2"/>
                <w:sz w:val="20"/>
                <w:szCs w:val="20"/>
                <w:lang w:val="en-US" w:eastAsia="zh-CN" w:bidi="ar-SA"/>
              </w:rPr>
            </w:pPr>
            <w:r>
              <w:rPr>
                <w:rFonts w:hint="eastAsia"/>
                <w:sz w:val="20"/>
                <w:szCs w:val="20"/>
              </w:rPr>
              <w:t>影响程度较高</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改善学校环境，营造更好的学习气氛</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影响程度较高</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kern w:val="2"/>
                <w:sz w:val="20"/>
                <w:szCs w:val="20"/>
                <w:lang w:val="en-US" w:eastAsia="zh-CN" w:bidi="ar-SA"/>
              </w:rPr>
            </w:pPr>
            <w:r>
              <w:rPr>
                <w:rFonts w:hint="eastAsia"/>
                <w:sz w:val="20"/>
                <w:szCs w:val="20"/>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完善办学条件，提升教育办学水平</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影响程度较高</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完善办学条件，提升教育办学水平</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教育事业可持续发展</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影响程度较高</w:t>
            </w:r>
          </w:p>
        </w:tc>
        <w:tc>
          <w:tcPr>
            <w:tcW w:w="8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生态效益指标</w:t>
            </w: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教育事业可持续发展</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可持续影响</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对科研创新、核心竞争力提升的可持续影响</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影响程度较高</w:t>
            </w:r>
          </w:p>
        </w:tc>
        <w:tc>
          <w:tcPr>
            <w:tcW w:w="840"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可持续</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影响</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对科研创新、核心竞争力提升的可持续影响</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保障学校履职，促进教育事业发展的影响程度</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影响程度较高</w:t>
            </w:r>
          </w:p>
        </w:tc>
        <w:tc>
          <w:tcPr>
            <w:tcW w:w="8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保障学校履职，促进教育事业发展的影响程度</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影响程度较高</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影响程度较高</w:t>
            </w:r>
          </w:p>
        </w:tc>
      </w:tr>
      <w:tr>
        <w:tblPrEx>
          <w:tblCellMar>
            <w:top w:w="0" w:type="dxa"/>
            <w:left w:w="108" w:type="dxa"/>
            <w:bottom w:w="0" w:type="dxa"/>
            <w:right w:w="108" w:type="dxa"/>
          </w:tblCellMar>
        </w:tblPrEx>
        <w:trPr>
          <w:trHeight w:val="1432"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企业满意度</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90%</w:t>
            </w:r>
          </w:p>
        </w:tc>
        <w:tc>
          <w:tcPr>
            <w:tcW w:w="91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≥90%</w:t>
            </w:r>
          </w:p>
        </w:tc>
        <w:tc>
          <w:tcPr>
            <w:tcW w:w="8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服务对</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象满意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度指标</w:t>
            </w:r>
          </w:p>
        </w:tc>
        <w:tc>
          <w:tcPr>
            <w:tcW w:w="134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企业满意度</w:t>
            </w:r>
          </w:p>
        </w:tc>
        <w:tc>
          <w:tcPr>
            <w:tcW w:w="96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90%</w:t>
            </w:r>
          </w:p>
        </w:tc>
        <w:tc>
          <w:tcPr>
            <w:tcW w:w="89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≥90%</w:t>
            </w:r>
          </w:p>
        </w:tc>
      </w:tr>
    </w:tbl>
    <w:p/>
    <w:p>
      <w:pPr>
        <w:adjustRightInd w:val="0"/>
        <w:snapToGrid w:val="0"/>
        <w:spacing w:line="600" w:lineRule="exact"/>
        <w:ind w:firstLine="643" w:firstLineChars="200"/>
        <w:rPr>
          <w:rFonts w:hint="eastAsia" w:ascii="仿宋_GB2312" w:hAnsi="楷体" w:eastAsia="仿宋_GB2312"/>
          <w:sz w:val="32"/>
          <w:szCs w:val="32"/>
        </w:rPr>
      </w:pPr>
      <w:r>
        <w:rPr>
          <w:rFonts w:hint="eastAsia" w:ascii="仿宋_GB2312" w:hAnsi="楷体" w:eastAsia="仿宋_GB2312"/>
          <w:b/>
          <w:sz w:val="32"/>
          <w:szCs w:val="32"/>
        </w:rPr>
        <w:t>4.“质量提升工程项目(现代教育质量提升计划)”项目。</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为满足学校教育教学工作需要，兼顾数字化校园建设、提升教师能力素质、提高学校教育教学质量等方面，学校需要相应的资金用于办公支出、物业管理费、培训费、会议费、差旅费、资本性支出等。</w:t>
      </w:r>
    </w:p>
    <w:p>
      <w:pPr>
        <w:adjustRightInd w:val="0"/>
        <w:snapToGrid w:val="0"/>
        <w:spacing w:line="600" w:lineRule="exact"/>
        <w:ind w:firstLine="640" w:firstLineChars="200"/>
        <w:rPr>
          <w:rFonts w:hint="eastAsia" w:ascii="仿宋_GB2312" w:hAnsi="楷体" w:eastAsia="仿宋_GB2312"/>
          <w:color w:val="auto"/>
          <w:sz w:val="32"/>
          <w:szCs w:val="32"/>
        </w:rPr>
      </w:pPr>
      <w:r>
        <w:rPr>
          <w:rFonts w:hint="eastAsia" w:ascii="仿宋_GB2312" w:hAnsi="楷体" w:eastAsia="仿宋_GB2312"/>
          <w:sz w:val="32"/>
          <w:szCs w:val="32"/>
        </w:rPr>
        <w:t>（2）立项依据。学</w:t>
      </w:r>
      <w:r>
        <w:rPr>
          <w:rFonts w:hint="eastAsia" w:ascii="仿宋_GB2312" w:hAnsi="楷体" w:eastAsia="仿宋_GB2312"/>
          <w:color w:val="auto"/>
          <w:sz w:val="32"/>
          <w:szCs w:val="32"/>
        </w:rPr>
        <w:t>校教育教学教研科研工作需要。</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（3）实施主体。马鞍山师范高等专科学校。</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（4）起止时间。2022年。</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（5）项目内容。马鞍山师范高等专科学</w:t>
      </w:r>
      <w:r>
        <w:rPr>
          <w:rFonts w:hint="eastAsia" w:ascii="仿宋_GB2312" w:hAnsi="楷体" w:eastAsia="仿宋_GB2312"/>
          <w:color w:val="auto"/>
          <w:sz w:val="32"/>
          <w:szCs w:val="32"/>
        </w:rPr>
        <w:t>校教育事业顺</w:t>
      </w:r>
      <w:r>
        <w:rPr>
          <w:rFonts w:hint="eastAsia" w:ascii="仿宋_GB2312" w:hAnsi="楷体" w:eastAsia="仿宋_GB2312"/>
          <w:sz w:val="32"/>
          <w:szCs w:val="32"/>
        </w:rPr>
        <w:t>利开展。</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（6）年度预算安排3373.82 万元。</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（7）绩效目标。提升教学水平，深入推进内涵建设，着力突破瓶颈性、关键性问题，对标达标、补齐短板，进一步提升人才培养质量与社会影响力，培养更多适应地方经济社会发展需要的高素质技术技能人才。</w:t>
      </w:r>
    </w:p>
    <w:tbl>
      <w:tblPr>
        <w:tblStyle w:val="5"/>
        <w:tblpPr w:leftFromText="180" w:rightFromText="180" w:vertAnchor="text" w:horzAnchor="page" w:tblpX="1298" w:tblpY="735"/>
        <w:tblOverlap w:val="never"/>
        <w:tblW w:w="9909" w:type="dxa"/>
        <w:tblInd w:w="0" w:type="dxa"/>
        <w:tblLayout w:type="fixed"/>
        <w:tblCellMar>
          <w:top w:w="0" w:type="dxa"/>
          <w:left w:w="108" w:type="dxa"/>
          <w:bottom w:w="0" w:type="dxa"/>
          <w:right w:w="108" w:type="dxa"/>
        </w:tblCellMar>
      </w:tblPr>
      <w:tblGrid>
        <w:gridCol w:w="416"/>
        <w:gridCol w:w="820"/>
        <w:gridCol w:w="940"/>
        <w:gridCol w:w="2000"/>
        <w:gridCol w:w="888"/>
        <w:gridCol w:w="885"/>
        <w:gridCol w:w="885"/>
        <w:gridCol w:w="1343"/>
        <w:gridCol w:w="864"/>
        <w:gridCol w:w="868"/>
      </w:tblGrid>
      <w:tr>
        <w:tblPrEx>
          <w:tblCellMar>
            <w:top w:w="0" w:type="dxa"/>
            <w:left w:w="108" w:type="dxa"/>
            <w:bottom w:w="0" w:type="dxa"/>
            <w:right w:w="108" w:type="dxa"/>
          </w:tblCellMar>
        </w:tblPrEx>
        <w:trPr>
          <w:trHeight w:val="360" w:hRule="atLeast"/>
        </w:trPr>
        <w:tc>
          <w:tcPr>
            <w:tcW w:w="9909" w:type="dxa"/>
            <w:gridSpan w:val="10"/>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default"/>
                <w:b/>
                <w:bCs/>
                <w:sz w:val="32"/>
                <w:szCs w:val="32"/>
              </w:rPr>
            </w:pPr>
          </w:p>
          <w:p>
            <w:pPr>
              <w:keepNext w:val="0"/>
              <w:keepLines w:val="0"/>
              <w:suppressLineNumbers w:val="0"/>
              <w:spacing w:before="0" w:beforeAutospacing="0" w:after="0" w:afterAutospacing="0"/>
              <w:ind w:left="0" w:right="0"/>
              <w:jc w:val="center"/>
              <w:rPr>
                <w:rFonts w:hint="default"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909" w:type="dxa"/>
            <w:gridSpan w:val="10"/>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（2022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项目名称</w:t>
            </w:r>
          </w:p>
        </w:tc>
        <w:tc>
          <w:tcPr>
            <w:tcW w:w="8673" w:type="dxa"/>
            <w:gridSpan w:val="8"/>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质量提升工程项目(现代教育质量提升计划)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实施单位</w:t>
            </w:r>
          </w:p>
        </w:tc>
        <w:tc>
          <w:tcPr>
            <w:tcW w:w="8673" w:type="dxa"/>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马鞍山师范高等专科学校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项目属性</w:t>
            </w:r>
          </w:p>
        </w:tc>
        <w:tc>
          <w:tcPr>
            <w:tcW w:w="8673" w:type="dxa"/>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000000"/>
                <w:sz w:val="20"/>
                <w:szCs w:val="20"/>
              </w:rPr>
            </w:pPr>
            <w:r>
              <w:rPr>
                <w:rFonts w:hint="eastAsia"/>
                <w:color w:val="000000"/>
                <w:sz w:val="20"/>
                <w:szCs w:val="20"/>
              </w:rPr>
              <w:t>常年项目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项目资金</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中期资金总额：</w:t>
            </w:r>
          </w:p>
        </w:tc>
        <w:tc>
          <w:tcPr>
            <w:tcW w:w="1773"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宋体" w:hAnsi="宋体" w:cs="宋体"/>
                <w:sz w:val="20"/>
                <w:szCs w:val="20"/>
              </w:rPr>
            </w:pPr>
            <w:r>
              <w:rPr>
                <w:rFonts w:hint="eastAsia"/>
                <w:sz w:val="20"/>
                <w:szCs w:val="20"/>
              </w:rPr>
              <w:t xml:space="preserve">    　3373.82</w:t>
            </w:r>
          </w:p>
        </w:tc>
        <w:tc>
          <w:tcPr>
            <w:tcW w:w="2228"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年度资金总额：</w:t>
            </w:r>
          </w:p>
        </w:tc>
        <w:tc>
          <w:tcPr>
            <w:tcW w:w="1732"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宋体" w:hAnsi="宋体" w:cs="宋体"/>
                <w:sz w:val="20"/>
                <w:szCs w:val="20"/>
              </w:rPr>
            </w:pPr>
            <w:r>
              <w:rPr>
                <w:rFonts w:hint="eastAsia"/>
                <w:sz w:val="20"/>
                <w:szCs w:val="20"/>
              </w:rPr>
              <w:t>3373.82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其中：财政拨款</w:t>
            </w:r>
          </w:p>
        </w:tc>
        <w:tc>
          <w:tcPr>
            <w:tcW w:w="1773"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default" w:ascii="宋体" w:hAnsi="宋体" w:cs="宋体"/>
                <w:sz w:val="20"/>
                <w:szCs w:val="20"/>
              </w:rPr>
            </w:pPr>
            <w:r>
              <w:rPr>
                <w:rFonts w:hint="eastAsia"/>
                <w:sz w:val="20"/>
                <w:szCs w:val="20"/>
              </w:rPr>
              <w:t>3373.82　</w:t>
            </w:r>
          </w:p>
        </w:tc>
        <w:tc>
          <w:tcPr>
            <w:tcW w:w="2228"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其中：财政拨款</w:t>
            </w:r>
          </w:p>
        </w:tc>
        <w:tc>
          <w:tcPr>
            <w:tcW w:w="1732"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宋体" w:hAnsi="宋体" w:cs="宋体"/>
                <w:sz w:val="20"/>
                <w:szCs w:val="20"/>
              </w:rPr>
            </w:pPr>
            <w:r>
              <w:rPr>
                <w:rFonts w:hint="eastAsia"/>
                <w:sz w:val="20"/>
                <w:szCs w:val="20"/>
              </w:rPr>
              <w:t>3373.82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其他资金</w:t>
            </w:r>
          </w:p>
        </w:tc>
        <w:tc>
          <w:tcPr>
            <w:tcW w:w="1773"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　</w:t>
            </w:r>
          </w:p>
        </w:tc>
        <w:tc>
          <w:tcPr>
            <w:tcW w:w="2228"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其他资金</w:t>
            </w:r>
          </w:p>
        </w:tc>
        <w:tc>
          <w:tcPr>
            <w:tcW w:w="1732"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总</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体</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目</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5533" w:type="dxa"/>
            <w:gridSpan w:val="5"/>
            <w:tcBorders>
              <w:top w:val="single" w:color="auto" w:sz="4" w:space="0"/>
              <w:left w:val="nil"/>
              <w:bottom w:val="single" w:color="auto" w:sz="4" w:space="0"/>
              <w:right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中期目标（2022年—2022年）</w:t>
            </w:r>
          </w:p>
        </w:tc>
        <w:tc>
          <w:tcPr>
            <w:tcW w:w="3960"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5533" w:type="dxa"/>
            <w:gridSpan w:val="5"/>
            <w:tcBorders>
              <w:top w:val="single" w:color="auto" w:sz="4" w:space="0"/>
              <w:left w:val="nil"/>
              <w:bottom w:val="single" w:color="auto" w:sz="4" w:space="0"/>
              <w:right w:val="nil"/>
            </w:tcBorders>
            <w:noWrap w:val="0"/>
            <w:vAlign w:val="top"/>
          </w:tcPr>
          <w:p>
            <w:pPr>
              <w:keepNext w:val="0"/>
              <w:keepLines w:val="0"/>
              <w:suppressLineNumbers w:val="0"/>
              <w:spacing w:before="0" w:beforeAutospacing="0" w:after="0" w:afterAutospacing="0"/>
              <w:ind w:left="0" w:right="0"/>
              <w:rPr>
                <w:rFonts w:hint="eastAsia" w:eastAsia="宋体"/>
                <w:sz w:val="20"/>
                <w:szCs w:val="20"/>
                <w:lang w:eastAsia="zh-CN"/>
              </w:rPr>
            </w:pPr>
            <w:r>
              <w:rPr>
                <w:rFonts w:hint="eastAsia"/>
                <w:sz w:val="20"/>
                <w:szCs w:val="20"/>
              </w:rPr>
              <w:t xml:space="preserve"> 目标1：确保校园正常运转；</w:t>
            </w:r>
          </w:p>
          <w:p>
            <w:pPr>
              <w:keepNext w:val="0"/>
              <w:keepLines w:val="0"/>
              <w:suppressLineNumbers w:val="0"/>
              <w:spacing w:before="0" w:beforeAutospacing="0" w:after="0" w:afterAutospacing="0"/>
              <w:ind w:left="0" w:right="0"/>
              <w:rPr>
                <w:rFonts w:hint="eastAsia" w:eastAsia="宋体"/>
                <w:sz w:val="20"/>
                <w:szCs w:val="20"/>
                <w:lang w:eastAsia="zh-CN"/>
              </w:rPr>
            </w:pPr>
            <w:r>
              <w:rPr>
                <w:rFonts w:hint="eastAsia"/>
                <w:sz w:val="20"/>
                <w:szCs w:val="20"/>
              </w:rPr>
              <w:t xml:space="preserve"> 目标2：为各系部专业建设提供保障；</w:t>
            </w:r>
          </w:p>
          <w:p>
            <w:pPr>
              <w:keepNext w:val="0"/>
              <w:keepLines w:val="0"/>
              <w:suppressLineNumbers w:val="0"/>
              <w:spacing w:before="0" w:beforeAutospacing="0" w:after="0" w:afterAutospacing="0"/>
              <w:ind w:left="0" w:right="0"/>
              <w:rPr>
                <w:rFonts w:hint="eastAsia" w:ascii="宋体" w:hAnsi="宋体" w:cs="宋体"/>
                <w:sz w:val="20"/>
                <w:szCs w:val="20"/>
              </w:rPr>
            </w:pPr>
            <w:r>
              <w:rPr>
                <w:rFonts w:hint="eastAsia"/>
                <w:sz w:val="20"/>
                <w:szCs w:val="20"/>
              </w:rPr>
              <w:t xml:space="preserve"> 目标3：打造高水平师资队伍。</w:t>
            </w:r>
          </w:p>
        </w:tc>
        <w:tc>
          <w:tcPr>
            <w:tcW w:w="3960" w:type="dxa"/>
            <w:gridSpan w:val="4"/>
            <w:tcBorders>
              <w:top w:val="single" w:color="auto" w:sz="4" w:space="0"/>
              <w:left w:val="single" w:color="auto" w:sz="4" w:space="0"/>
              <w:bottom w:val="single" w:color="auto"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eastAsia="宋体"/>
                <w:sz w:val="20"/>
                <w:szCs w:val="20"/>
                <w:lang w:eastAsia="zh-CN"/>
              </w:rPr>
            </w:pPr>
            <w:r>
              <w:rPr>
                <w:rFonts w:hint="eastAsia"/>
                <w:sz w:val="20"/>
                <w:szCs w:val="20"/>
              </w:rPr>
              <w:t xml:space="preserve"> 目标1：集群建设面向现代服务业和制造加工业的专业群；</w:t>
            </w:r>
          </w:p>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sz w:val="20"/>
                <w:szCs w:val="20"/>
              </w:rPr>
              <w:t xml:space="preserve"> 目标2：为广大企业输送优秀的专业人才。</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绩</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效</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一级</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三级指标</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指标值</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绩效标准</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二级</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343" w:type="dxa"/>
            <w:tcBorders>
              <w:top w:val="nil"/>
              <w:left w:val="nil"/>
              <w:bottom w:val="single" w:color="auto" w:sz="4" w:space="0"/>
              <w:right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三级指标</w:t>
            </w:r>
          </w:p>
        </w:tc>
        <w:tc>
          <w:tcPr>
            <w:tcW w:w="864"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指标值</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产</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出</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日常维修相关验收合格率</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eastAsia" w:ascii="宋体" w:hAnsi="宋体"/>
                <w:color w:val="000000"/>
                <w:sz w:val="20"/>
                <w:szCs w:val="24"/>
              </w:rPr>
              <w:t>95%</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≥9</w:t>
            </w:r>
            <w:r>
              <w:rPr>
                <w:rFonts w:hint="eastAsia" w:ascii="宋体" w:hAnsi="宋体"/>
                <w:color w:val="000000"/>
                <w:sz w:val="20"/>
                <w:szCs w:val="24"/>
                <w:lang w:val="en-US" w:eastAsia="zh-CN"/>
              </w:rPr>
              <w:t>0</w:t>
            </w:r>
            <w:r>
              <w:rPr>
                <w:rFonts w:hint="eastAsia" w:ascii="宋体" w:hAnsi="宋体"/>
                <w:color w:val="000000"/>
                <w:sz w:val="20"/>
                <w:szCs w:val="24"/>
              </w:rPr>
              <w:t>%</w:t>
            </w:r>
          </w:p>
        </w:tc>
        <w:tc>
          <w:tcPr>
            <w:tcW w:w="885"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数量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日常维修相关验收合格率</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eastAsia" w:ascii="宋体" w:hAnsi="宋体"/>
                <w:color w:val="000000"/>
                <w:sz w:val="20"/>
                <w:szCs w:val="24"/>
              </w:rPr>
              <w:t>95%</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≥9</w:t>
            </w:r>
            <w:r>
              <w:rPr>
                <w:rFonts w:hint="eastAsia" w:ascii="宋体" w:hAnsi="宋体"/>
                <w:color w:val="000000"/>
                <w:sz w:val="20"/>
                <w:szCs w:val="24"/>
                <w:lang w:val="en-US" w:eastAsia="zh-CN"/>
              </w:rPr>
              <w:t>0</w:t>
            </w:r>
            <w:r>
              <w:rPr>
                <w:rFonts w:hint="eastAsia" w:ascii="宋体" w:hAnsi="宋体"/>
                <w:color w:val="000000"/>
                <w:sz w:val="20"/>
                <w:szCs w:val="24"/>
              </w:rPr>
              <w:t>%</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发放劳务费人数</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105人</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≥10</w:t>
            </w:r>
            <w:r>
              <w:rPr>
                <w:rFonts w:hint="eastAsia" w:ascii="宋体" w:hAnsi="宋体"/>
                <w:color w:val="000000"/>
                <w:sz w:val="20"/>
                <w:szCs w:val="24"/>
                <w:lang w:val="en-US" w:eastAsia="zh-CN"/>
              </w:rPr>
              <w:t>0</w:t>
            </w:r>
            <w:r>
              <w:rPr>
                <w:rFonts w:hint="eastAsia" w:ascii="宋体" w:hAnsi="宋体"/>
                <w:color w:val="000000"/>
                <w:sz w:val="20"/>
                <w:szCs w:val="24"/>
              </w:rPr>
              <w:t>人</w:t>
            </w:r>
          </w:p>
        </w:tc>
        <w:tc>
          <w:tcPr>
            <w:tcW w:w="885"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发放劳务费人数</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105人</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≥10</w:t>
            </w:r>
            <w:r>
              <w:rPr>
                <w:rFonts w:hint="eastAsia" w:ascii="宋体" w:hAnsi="宋体"/>
                <w:color w:val="000000"/>
                <w:sz w:val="20"/>
                <w:szCs w:val="24"/>
                <w:lang w:val="en-US" w:eastAsia="zh-CN"/>
              </w:rPr>
              <w:t>0</w:t>
            </w:r>
            <w:r>
              <w:rPr>
                <w:rFonts w:hint="eastAsia" w:ascii="宋体" w:hAnsi="宋体"/>
                <w:color w:val="000000"/>
                <w:sz w:val="20"/>
                <w:szCs w:val="24"/>
              </w:rPr>
              <w:t>人</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校园网站、微信公众号维护次数</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10次</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w:t>
            </w:r>
            <w:r>
              <w:rPr>
                <w:rFonts w:hint="eastAsia" w:ascii="宋体" w:hAnsi="宋体"/>
                <w:color w:val="000000"/>
                <w:sz w:val="20"/>
                <w:szCs w:val="24"/>
                <w:lang w:val="en-US" w:eastAsia="zh-CN"/>
              </w:rPr>
              <w:t>8</w:t>
            </w:r>
            <w:r>
              <w:rPr>
                <w:rFonts w:hint="eastAsia" w:ascii="宋体" w:hAnsi="宋体"/>
                <w:color w:val="000000"/>
                <w:sz w:val="20"/>
                <w:szCs w:val="24"/>
              </w:rPr>
              <w:t>次</w:t>
            </w:r>
          </w:p>
        </w:tc>
        <w:tc>
          <w:tcPr>
            <w:tcW w:w="885"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校园网站、微信公众号维护次数</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10次</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w:t>
            </w:r>
            <w:r>
              <w:rPr>
                <w:rFonts w:hint="eastAsia" w:ascii="宋体" w:hAnsi="宋体"/>
                <w:color w:val="000000"/>
                <w:sz w:val="20"/>
                <w:szCs w:val="24"/>
                <w:lang w:val="en-US" w:eastAsia="zh-CN"/>
              </w:rPr>
              <w:t>8</w:t>
            </w:r>
            <w:r>
              <w:rPr>
                <w:rFonts w:hint="eastAsia" w:ascii="宋体" w:hAnsi="宋体"/>
                <w:color w:val="000000"/>
                <w:sz w:val="20"/>
                <w:szCs w:val="24"/>
              </w:rPr>
              <w:t>次</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日常维修次数和面积</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5次</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w:t>
            </w:r>
            <w:r>
              <w:rPr>
                <w:rFonts w:hint="eastAsia" w:ascii="宋体" w:hAnsi="宋体"/>
                <w:color w:val="000000"/>
                <w:sz w:val="20"/>
                <w:szCs w:val="24"/>
                <w:lang w:val="en-US" w:eastAsia="zh-CN"/>
              </w:rPr>
              <w:t>3</w:t>
            </w:r>
            <w:r>
              <w:rPr>
                <w:rFonts w:hint="eastAsia" w:ascii="宋体" w:hAnsi="宋体"/>
                <w:color w:val="000000"/>
                <w:sz w:val="20"/>
                <w:szCs w:val="24"/>
              </w:rPr>
              <w:t>次</w:t>
            </w:r>
          </w:p>
        </w:tc>
        <w:tc>
          <w:tcPr>
            <w:tcW w:w="885"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日常维修次数和面积</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5次</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w:t>
            </w:r>
            <w:r>
              <w:rPr>
                <w:rFonts w:hint="eastAsia" w:ascii="宋体" w:hAnsi="宋体"/>
                <w:color w:val="000000"/>
                <w:sz w:val="20"/>
                <w:szCs w:val="24"/>
                <w:lang w:val="en-US" w:eastAsia="zh-CN"/>
              </w:rPr>
              <w:t>3</w:t>
            </w:r>
            <w:r>
              <w:rPr>
                <w:rFonts w:hint="eastAsia" w:ascii="宋体" w:hAnsi="宋体"/>
                <w:color w:val="000000"/>
                <w:sz w:val="20"/>
                <w:szCs w:val="24"/>
              </w:rPr>
              <w:t>次</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公务用车使用次数</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260次</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≥2</w:t>
            </w:r>
            <w:r>
              <w:rPr>
                <w:rFonts w:hint="eastAsia" w:ascii="宋体" w:hAnsi="宋体"/>
                <w:color w:val="000000"/>
                <w:sz w:val="20"/>
                <w:szCs w:val="24"/>
                <w:lang w:val="en-US" w:eastAsia="zh-CN"/>
              </w:rPr>
              <w:t>0</w:t>
            </w:r>
            <w:r>
              <w:rPr>
                <w:rFonts w:hint="eastAsia" w:ascii="宋体" w:hAnsi="宋体"/>
                <w:color w:val="000000"/>
                <w:sz w:val="20"/>
                <w:szCs w:val="24"/>
              </w:rPr>
              <w:t>0次</w:t>
            </w:r>
          </w:p>
        </w:tc>
        <w:tc>
          <w:tcPr>
            <w:tcW w:w="885"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公务用车使用次数</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260次</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≥2</w:t>
            </w:r>
            <w:r>
              <w:rPr>
                <w:rFonts w:hint="eastAsia" w:ascii="宋体" w:hAnsi="宋体"/>
                <w:color w:val="000000"/>
                <w:sz w:val="20"/>
                <w:szCs w:val="24"/>
                <w:lang w:val="en-US" w:eastAsia="zh-CN"/>
              </w:rPr>
              <w:t>0</w:t>
            </w:r>
            <w:r>
              <w:rPr>
                <w:rFonts w:hint="eastAsia" w:ascii="宋体" w:hAnsi="宋体"/>
                <w:color w:val="000000"/>
                <w:sz w:val="20"/>
                <w:szCs w:val="24"/>
              </w:rPr>
              <w:t>0次</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物业管理面积</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130000平方米</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130000平方米</w:t>
            </w:r>
          </w:p>
        </w:tc>
        <w:tc>
          <w:tcPr>
            <w:tcW w:w="885"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物业管理面积</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130000平方米</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130000平方米</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“双师型”教师比例</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eastAsia" w:ascii="宋体" w:hAnsi="宋体"/>
                <w:color w:val="000000"/>
                <w:sz w:val="20"/>
                <w:szCs w:val="24"/>
              </w:rPr>
              <w:t>50%</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≥50%</w:t>
            </w:r>
          </w:p>
        </w:tc>
        <w:tc>
          <w:tcPr>
            <w:tcW w:w="885"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质量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“双师型”教师比例</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eastAsia" w:ascii="宋体" w:hAnsi="宋体"/>
                <w:color w:val="000000"/>
                <w:sz w:val="20"/>
                <w:szCs w:val="24"/>
              </w:rPr>
              <w:t>50%</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≥50%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经费支出的合规性</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符合相关规定</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符合相关规定</w:t>
            </w:r>
          </w:p>
        </w:tc>
        <w:tc>
          <w:tcPr>
            <w:tcW w:w="885"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ascii="宋体" w:hAnsi="宋体"/>
                <w:color w:val="000000"/>
                <w:sz w:val="20"/>
                <w:szCs w:val="24"/>
              </w:rPr>
              <w:t>经费支出的合规性</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4"/>
              </w:rPr>
            </w:pPr>
            <w:r>
              <w:rPr>
                <w:rFonts w:hint="eastAsia" w:ascii="宋体" w:hAnsi="宋体"/>
                <w:color w:val="000000"/>
                <w:sz w:val="20"/>
                <w:szCs w:val="24"/>
              </w:rPr>
              <w:t>符合相关规定</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kern w:val="2"/>
                <w:sz w:val="20"/>
                <w:szCs w:val="24"/>
                <w:lang w:val="en-US" w:eastAsia="zh-CN" w:bidi="ar-SA"/>
              </w:rPr>
            </w:pPr>
            <w:r>
              <w:rPr>
                <w:rFonts w:hint="eastAsia" w:ascii="宋体" w:hAnsi="宋体"/>
                <w:color w:val="000000"/>
                <w:sz w:val="20"/>
                <w:szCs w:val="24"/>
              </w:rPr>
              <w:t>符合相关规定</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学校官网、公众号与教务系统运行合规性</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eastAsia" w:ascii="宋体" w:hAnsi="宋体"/>
                <w:color w:val="000000"/>
                <w:sz w:val="20"/>
                <w:szCs w:val="24"/>
              </w:rPr>
              <w:t>符合相关规定</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符合相关规定</w:t>
            </w:r>
          </w:p>
        </w:tc>
        <w:tc>
          <w:tcPr>
            <w:tcW w:w="885"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rPr>
              <w:t>学校官网、公众号与教务系统运行合规性</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eastAsia" w:ascii="宋体" w:hAnsi="宋体"/>
                <w:color w:val="000000"/>
                <w:sz w:val="20"/>
                <w:szCs w:val="24"/>
              </w:rPr>
              <w:t>符合相关规定</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000000"/>
                <w:kern w:val="2"/>
                <w:sz w:val="20"/>
                <w:szCs w:val="24"/>
                <w:lang w:val="en-US" w:eastAsia="zh-CN" w:bidi="ar-SA"/>
              </w:rPr>
            </w:pPr>
            <w:r>
              <w:rPr>
                <w:rFonts w:hint="eastAsia" w:ascii="宋体" w:hAnsi="宋体"/>
                <w:color w:val="000000"/>
                <w:sz w:val="20"/>
                <w:szCs w:val="24"/>
              </w:rPr>
              <w:t>符合相关规定</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经费支出及时性</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2022年年底前完成资金支付</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lang w:val="en-US" w:eastAsia="zh-CN"/>
              </w:rPr>
              <w:t>本年度内完成支付</w:t>
            </w:r>
          </w:p>
        </w:tc>
        <w:tc>
          <w:tcPr>
            <w:tcW w:w="885"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时效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经费支出及时性</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2022年年底前完成资金支付</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olor w:val="000000"/>
                <w:sz w:val="20"/>
                <w:szCs w:val="24"/>
                <w:lang w:val="en-US" w:eastAsia="zh-CN"/>
              </w:rPr>
              <w:t>本年度内完成支付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项目总成本</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0"/>
                <w:szCs w:val="20"/>
                <w:lang w:val="en-US" w:eastAsia="zh-CN"/>
              </w:rPr>
            </w:pPr>
            <w:r>
              <w:rPr>
                <w:rFonts w:hint="eastAsia"/>
                <w:sz w:val="20"/>
                <w:szCs w:val="20"/>
                <w:lang w:val="en-US" w:eastAsia="zh-CN"/>
              </w:rPr>
              <w:t>3373.82万元</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sz w:val="20"/>
                <w:szCs w:val="20"/>
                <w:lang w:val="en-US" w:eastAsia="zh-CN"/>
              </w:rPr>
            </w:pPr>
            <w:r>
              <w:rPr>
                <w:rFonts w:hint="eastAsia"/>
                <w:sz w:val="20"/>
                <w:szCs w:val="20"/>
              </w:rPr>
              <w:t>≤</w:t>
            </w:r>
            <w:r>
              <w:rPr>
                <w:rFonts w:hint="eastAsia"/>
                <w:sz w:val="20"/>
                <w:szCs w:val="20"/>
                <w:lang w:val="en-US" w:eastAsia="zh-CN"/>
              </w:rPr>
              <w:t>3373.82万元</w:t>
            </w:r>
          </w:p>
        </w:tc>
        <w:tc>
          <w:tcPr>
            <w:tcW w:w="885"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成本</w:t>
            </w:r>
          </w:p>
          <w:p>
            <w:pPr>
              <w:keepNext w:val="0"/>
              <w:keepLines w:val="0"/>
              <w:suppressLineNumbers w:val="0"/>
              <w:spacing w:before="0" w:beforeAutospacing="0" w:after="0" w:afterAutospacing="0"/>
              <w:ind w:left="0" w:right="0"/>
              <w:jc w:val="center"/>
              <w:rPr>
                <w:rFonts w:hint="eastAsia"/>
                <w:sz w:val="20"/>
                <w:szCs w:val="20"/>
              </w:rPr>
            </w:pPr>
            <w:r>
              <w:rPr>
                <w:rFonts w:hint="eastAsia"/>
                <w:sz w:val="20"/>
                <w:szCs w:val="20"/>
              </w:rPr>
              <w:t>指标</w:t>
            </w: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项目总成本</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lang w:val="en-US" w:eastAsia="zh-CN"/>
              </w:rPr>
              <w:t>3373.82万元</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sz w:val="20"/>
                <w:szCs w:val="20"/>
              </w:rPr>
            </w:pPr>
            <w:r>
              <w:rPr>
                <w:rFonts w:hint="eastAsia"/>
                <w:sz w:val="20"/>
                <w:szCs w:val="20"/>
              </w:rPr>
              <w:t>≤</w:t>
            </w:r>
            <w:r>
              <w:rPr>
                <w:rFonts w:hint="eastAsia"/>
                <w:sz w:val="20"/>
                <w:szCs w:val="20"/>
                <w:lang w:val="en-US" w:eastAsia="zh-CN"/>
              </w:rPr>
              <w:t>3373.82万元</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效</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益</w:t>
            </w:r>
          </w:p>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eastAsia" w:ascii="宋体" w:hAnsi="宋体"/>
                <w:color w:val="000000"/>
                <w:sz w:val="20"/>
                <w:szCs w:val="24"/>
              </w:rPr>
              <w:t>对服务支出经济发展能力的影响程度</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default" w:ascii="宋体" w:hAnsi="宋体"/>
                <w:color w:val="000000"/>
                <w:sz w:val="20"/>
                <w:szCs w:val="24"/>
              </w:rPr>
              <w:t>影响程度较高</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color w:val="000000"/>
                <w:kern w:val="2"/>
                <w:sz w:val="20"/>
                <w:szCs w:val="24"/>
                <w:lang w:val="en-US" w:eastAsia="zh-CN" w:bidi="ar-SA"/>
              </w:rPr>
            </w:pPr>
            <w:r>
              <w:rPr>
                <w:rFonts w:hint="default" w:ascii="宋体" w:hAnsi="宋体"/>
                <w:color w:val="000000"/>
                <w:sz w:val="20"/>
                <w:szCs w:val="24"/>
              </w:rPr>
              <w:t>影响程度较高</w:t>
            </w:r>
          </w:p>
        </w:tc>
        <w:tc>
          <w:tcPr>
            <w:tcW w:w="885"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经济效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益指标</w:t>
            </w: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eastAsia" w:ascii="宋体" w:hAnsi="宋体"/>
                <w:color w:val="000000"/>
                <w:sz w:val="20"/>
                <w:szCs w:val="24"/>
              </w:rPr>
              <w:t>对服务支出经济发展能力的影响程度</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olor w:val="000000"/>
                <w:sz w:val="20"/>
                <w:szCs w:val="24"/>
              </w:rPr>
            </w:pPr>
            <w:r>
              <w:rPr>
                <w:rFonts w:hint="default" w:ascii="宋体" w:hAnsi="宋体"/>
                <w:color w:val="000000"/>
                <w:sz w:val="20"/>
                <w:szCs w:val="24"/>
              </w:rPr>
              <w:t>影响程度较高</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完善办学条件，提升教育办学水平</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影响程度较高</w:t>
            </w:r>
          </w:p>
        </w:tc>
        <w:tc>
          <w:tcPr>
            <w:tcW w:w="885"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社会效</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益指标</w:t>
            </w: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完善办学条件，提升教育办学水平</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教育事业可持续发展</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影响程度较高</w:t>
            </w:r>
          </w:p>
        </w:tc>
        <w:tc>
          <w:tcPr>
            <w:tcW w:w="885"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生态效益指标</w:t>
            </w: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教育事业可持续发展</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sz w:val="20"/>
                <w:szCs w:val="20"/>
                <w:lang w:eastAsia="zh-CN"/>
              </w:rPr>
            </w:pPr>
            <w:r>
              <w:rPr>
                <w:rFonts w:hint="eastAsia"/>
                <w:sz w:val="20"/>
                <w:szCs w:val="20"/>
              </w:rPr>
              <w:t>可持续影响</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保障学校履职，促进教育事业发展的影响程度</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影响程度较高</w:t>
            </w:r>
          </w:p>
        </w:tc>
        <w:tc>
          <w:tcPr>
            <w:tcW w:w="885" w:type="dxa"/>
            <w:vMerge w:val="restart"/>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可持续</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影响</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指标</w:t>
            </w: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保障学校履职，促进教育事业发展的影响程度</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对教与学相结合的促进作用</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default" w:ascii="宋体" w:hAnsi="宋体"/>
                <w:color w:val="000000"/>
                <w:sz w:val="20"/>
                <w:szCs w:val="24"/>
              </w:rPr>
              <w:t>影响程度较高</w:t>
            </w:r>
          </w:p>
        </w:tc>
        <w:tc>
          <w:tcPr>
            <w:tcW w:w="885"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对教与学相结合的促进作用</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default" w:ascii="宋体" w:hAnsi="宋体"/>
                <w:color w:val="000000"/>
                <w:sz w:val="20"/>
                <w:szCs w:val="24"/>
              </w:rPr>
              <w:t>影响程度较高</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企业满意度</w:t>
            </w:r>
          </w:p>
        </w:tc>
        <w:tc>
          <w:tcPr>
            <w:tcW w:w="88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90%</w:t>
            </w:r>
          </w:p>
        </w:tc>
        <w:tc>
          <w:tcPr>
            <w:tcW w:w="88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≥90%</w:t>
            </w:r>
          </w:p>
        </w:tc>
        <w:tc>
          <w:tcPr>
            <w:tcW w:w="885" w:type="dxa"/>
            <w:tcBorders>
              <w:top w:val="nil"/>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服务对</w:t>
            </w:r>
          </w:p>
          <w:p>
            <w:pPr>
              <w:keepNext w:val="0"/>
              <w:keepLines w:val="0"/>
              <w:suppressLineNumbers w:val="0"/>
              <w:spacing w:before="0" w:beforeAutospacing="0" w:after="0" w:afterAutospacing="0"/>
              <w:ind w:left="0" w:right="0"/>
              <w:jc w:val="center"/>
              <w:rPr>
                <w:rFonts w:hint="default"/>
                <w:sz w:val="20"/>
                <w:szCs w:val="20"/>
              </w:rPr>
            </w:pPr>
            <w:r>
              <w:rPr>
                <w:rFonts w:hint="eastAsia"/>
                <w:sz w:val="20"/>
                <w:szCs w:val="20"/>
              </w:rPr>
              <w:t>象满意</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度指标</w:t>
            </w:r>
          </w:p>
        </w:tc>
        <w:tc>
          <w:tcPr>
            <w:tcW w:w="13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企业满意度</w:t>
            </w:r>
          </w:p>
        </w:tc>
        <w:tc>
          <w:tcPr>
            <w:tcW w:w="86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sz w:val="20"/>
                <w:szCs w:val="20"/>
              </w:rPr>
              <w:t>90%</w:t>
            </w:r>
          </w:p>
        </w:tc>
        <w:tc>
          <w:tcPr>
            <w:tcW w:w="86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sz w:val="20"/>
                <w:szCs w:val="20"/>
              </w:rPr>
              <w:t>≥90%</w:t>
            </w:r>
          </w:p>
        </w:tc>
      </w:tr>
    </w:tbl>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w:t>
      </w:r>
      <w:r>
        <w:rPr>
          <w:rFonts w:hint="eastAsia" w:ascii="仿宋_GB2312" w:hAnsi="楷体" w:eastAsia="仿宋_GB2312"/>
          <w:b/>
          <w:sz w:val="32"/>
          <w:szCs w:val="32"/>
          <w:lang w:eastAsia="zh-CN"/>
        </w:rPr>
        <w:t>事业单位</w:t>
      </w:r>
      <w:r>
        <w:rPr>
          <w:rFonts w:hint="eastAsia" w:ascii="仿宋_GB2312" w:hAnsi="楷体" w:eastAsia="仿宋_GB2312"/>
          <w:b/>
          <w:sz w:val="32"/>
          <w:szCs w:val="32"/>
        </w:rPr>
        <w:t>运行经费。</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cs="宋体"/>
          <w:kern w:val="0"/>
          <w:sz w:val="32"/>
          <w:szCs w:val="32"/>
          <w:lang w:eastAsia="zh-CN"/>
        </w:rPr>
        <w:t>马鞍山师范高等专科学校</w:t>
      </w:r>
      <w:r>
        <w:rPr>
          <w:rFonts w:hint="eastAsia" w:ascii="仿宋_GB2312" w:hAnsi="仿宋" w:eastAsia="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sz w:val="32"/>
          <w:szCs w:val="32"/>
          <w:lang w:eastAsia="zh-CN"/>
        </w:rPr>
        <w:t>事业单位</w:t>
      </w:r>
      <w:r>
        <w:rPr>
          <w:rFonts w:hint="eastAsia" w:ascii="仿宋_GB2312" w:hAnsi="仿宋" w:eastAsia="仿宋_GB2312"/>
          <w:sz w:val="32"/>
          <w:szCs w:val="32"/>
        </w:rPr>
        <w:t>运行经费财政拨款预算</w:t>
      </w:r>
      <w:r>
        <w:rPr>
          <w:rFonts w:hint="eastAsia" w:ascii="仿宋_GB2312" w:hAnsi="仿宋" w:eastAsia="仿宋_GB2312"/>
          <w:sz w:val="32"/>
          <w:szCs w:val="32"/>
          <w:lang w:val="en-US" w:eastAsia="zh-CN"/>
        </w:rPr>
        <w:t>4878.5</w:t>
      </w:r>
      <w:r>
        <w:rPr>
          <w:rFonts w:hint="eastAsia" w:ascii="仿宋_GB2312" w:hAnsi="仿宋" w:eastAsia="仿宋_GB2312"/>
          <w:sz w:val="32"/>
          <w:szCs w:val="32"/>
        </w:rPr>
        <w:t>万元，比</w:t>
      </w:r>
      <w:r>
        <w:rPr>
          <w:rFonts w:hint="eastAsia" w:ascii="仿宋_GB2312" w:hAnsi="仿宋" w:eastAsia="仿宋_GB2312"/>
          <w:sz w:val="32"/>
          <w:szCs w:val="32"/>
          <w:lang w:eastAsia="zh-CN"/>
        </w:rPr>
        <w:t>2021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247.34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5.3</w:t>
      </w:r>
      <w:r>
        <w:rPr>
          <w:rFonts w:hint="eastAsia" w:ascii="仿宋_GB2312" w:hAnsi="仿宋" w:eastAsia="仿宋_GB2312"/>
          <w:sz w:val="32"/>
          <w:szCs w:val="32"/>
        </w:rPr>
        <w:t>%，增长主要原因是机关事业单位工资调整</w:t>
      </w:r>
      <w:r>
        <w:rPr>
          <w:rFonts w:hint="eastAsia" w:ascii="仿宋_GB2312" w:hAnsi="仿宋" w:eastAsia="仿宋_GB2312"/>
          <w:sz w:val="32"/>
          <w:szCs w:val="32"/>
          <w:lang w:eastAsia="zh-CN"/>
        </w:rPr>
        <w:t>、</w:t>
      </w:r>
      <w:r>
        <w:rPr>
          <w:rFonts w:hint="eastAsia" w:ascii="仿宋_GB2312" w:hAnsi="仿宋" w:eastAsia="仿宋_GB2312"/>
          <w:sz w:val="32"/>
          <w:szCs w:val="32"/>
        </w:rPr>
        <w:t>社保以及住房公积金</w:t>
      </w:r>
      <w:r>
        <w:rPr>
          <w:rFonts w:hint="eastAsia" w:ascii="仿宋_GB2312" w:hAnsi="仿宋" w:eastAsia="仿宋_GB2312"/>
          <w:sz w:val="32"/>
          <w:szCs w:val="32"/>
          <w:lang w:eastAsia="zh-CN"/>
        </w:rPr>
        <w:t>的正常增长</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lang w:eastAsia="zh-CN"/>
        </w:rPr>
        <w:t>马鞍山师范高等专科学校</w:t>
      </w:r>
      <w:r>
        <w:rPr>
          <w:rFonts w:hint="eastAsia" w:ascii="仿宋_GB2312" w:hAnsi="楷体" w:eastAsia="仿宋_GB2312"/>
          <w:sz w:val="32"/>
          <w:szCs w:val="32"/>
          <w:lang w:eastAsia="zh-CN"/>
        </w:rPr>
        <w:t>2022</w:t>
      </w:r>
      <w:r>
        <w:rPr>
          <w:rFonts w:hint="eastAsia" w:ascii="仿宋_GB2312" w:hAnsi="楷体" w:eastAsia="仿宋_GB2312"/>
          <w:sz w:val="32"/>
          <w:szCs w:val="32"/>
        </w:rPr>
        <w:t>年政府采购预算</w:t>
      </w:r>
      <w:r>
        <w:rPr>
          <w:rFonts w:hint="eastAsia" w:ascii="仿宋_GB2312" w:hAnsi="楷体" w:eastAsia="仿宋_GB2312"/>
          <w:sz w:val="32"/>
          <w:szCs w:val="32"/>
          <w:lang w:val="en-US" w:eastAsia="zh-CN"/>
        </w:rPr>
        <w:t>691.4</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381.4</w:t>
      </w:r>
      <w:r>
        <w:rPr>
          <w:rFonts w:hint="eastAsia" w:ascii="仿宋_GB2312" w:hAnsi="楷体" w:eastAsia="仿宋_GB2312"/>
          <w:sz w:val="32"/>
          <w:szCs w:val="32"/>
        </w:rPr>
        <w:t>万元，政府采购工程预算</w:t>
      </w:r>
      <w:r>
        <w:rPr>
          <w:rFonts w:hint="eastAsia" w:ascii="仿宋_GB2312" w:hAnsi="楷体" w:eastAsia="仿宋_GB2312"/>
          <w:sz w:val="32"/>
          <w:szCs w:val="32"/>
          <w:lang w:val="en-US" w:eastAsia="zh-CN"/>
        </w:rPr>
        <w:t>310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color w:val="3366FF"/>
          <w:sz w:val="32"/>
          <w:szCs w:val="32"/>
        </w:rPr>
      </w:pPr>
      <w:r>
        <w:rPr>
          <w:rFonts w:hint="eastAsia" w:ascii="仿宋_GB2312" w:hAnsi="仿宋" w:eastAsia="仿宋_GB2312"/>
          <w:sz w:val="32"/>
          <w:szCs w:val="32"/>
        </w:rPr>
        <w:t>截至</w:t>
      </w:r>
      <w:r>
        <w:rPr>
          <w:rFonts w:hint="eastAsia" w:ascii="仿宋_GB2312" w:hAnsi="仿宋" w:eastAsia="仿宋_GB2312"/>
          <w:sz w:val="32"/>
          <w:szCs w:val="32"/>
          <w:lang w:eastAsia="zh-CN"/>
        </w:rPr>
        <w:t>2021</w:t>
      </w:r>
      <w:r>
        <w:rPr>
          <w:rFonts w:hint="eastAsia" w:ascii="仿宋_GB2312" w:hAnsi="仿宋" w:eastAsia="仿宋_GB2312"/>
          <w:sz w:val="32"/>
          <w:szCs w:val="32"/>
        </w:rPr>
        <w:t>年12月31日，</w:t>
      </w:r>
      <w:r>
        <w:rPr>
          <w:rFonts w:hint="eastAsia" w:ascii="仿宋_GB2312" w:hAnsi="仿宋" w:eastAsia="仿宋_GB2312" w:cs="宋体"/>
          <w:kern w:val="0"/>
          <w:sz w:val="32"/>
          <w:szCs w:val="32"/>
          <w:lang w:eastAsia="zh-CN"/>
        </w:rPr>
        <w:t>马鞍山师范高等专科学校</w:t>
      </w:r>
      <w:r>
        <w:rPr>
          <w:rFonts w:hint="eastAsia" w:ascii="仿宋_GB2312" w:hAnsi="楷体" w:eastAsia="仿宋_GB2312"/>
          <w:sz w:val="32"/>
          <w:szCs w:val="32"/>
        </w:rPr>
        <w:t>共有车辆</w:t>
      </w:r>
      <w:r>
        <w:rPr>
          <w:rFonts w:hint="eastAsia" w:ascii="仿宋_GB2312" w:hAnsi="楷体" w:eastAsia="仿宋_GB2312"/>
          <w:sz w:val="32"/>
          <w:szCs w:val="32"/>
          <w:lang w:val="en-US" w:eastAsia="zh-CN"/>
        </w:rPr>
        <w:t>1</w:t>
      </w:r>
      <w:r>
        <w:rPr>
          <w:rFonts w:hint="eastAsia" w:ascii="仿宋_GB2312" w:hAnsi="楷体" w:eastAsia="仿宋_GB2312"/>
          <w:sz w:val="32"/>
          <w:szCs w:val="32"/>
        </w:rPr>
        <w:t>辆，其中：主要领导干部用车</w:t>
      </w:r>
      <w:r>
        <w:rPr>
          <w:rFonts w:hint="eastAsia" w:ascii="仿宋_GB2312" w:hAnsi="楷体" w:eastAsia="仿宋_GB2312"/>
          <w:sz w:val="32"/>
          <w:szCs w:val="32"/>
          <w:lang w:val="en-US" w:eastAsia="zh-CN"/>
        </w:rPr>
        <w:t>1</w:t>
      </w:r>
      <w:r>
        <w:rPr>
          <w:rFonts w:hint="eastAsia" w:ascii="仿宋_GB2312" w:hAnsi="楷体" w:eastAsia="仿宋_GB2312"/>
          <w:sz w:val="32"/>
          <w:szCs w:val="32"/>
        </w:rPr>
        <w:t>辆。单位价值50万元以上的通用设备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台（套），单位价值100万元以上的专用设备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lang w:eastAsia="zh-CN"/>
        </w:rPr>
        <w:t>2022</w:t>
      </w:r>
      <w:r>
        <w:rPr>
          <w:rFonts w:hint="eastAsia" w:ascii="仿宋_GB2312" w:hAnsi="楷体" w:eastAsia="仿宋_GB2312"/>
          <w:sz w:val="32"/>
          <w:szCs w:val="32"/>
        </w:rPr>
        <w:t>年</w:t>
      </w:r>
      <w:r>
        <w:rPr>
          <w:rFonts w:hint="eastAsia" w:ascii="仿宋_GB2312" w:hAnsi="楷体" w:eastAsia="仿宋_GB2312"/>
          <w:sz w:val="32"/>
          <w:szCs w:val="32"/>
          <w:lang w:eastAsia="zh-CN"/>
        </w:rPr>
        <w:t>单位</w:t>
      </w:r>
      <w:r>
        <w:rPr>
          <w:rFonts w:hint="eastAsia" w:ascii="仿宋_GB2312" w:hAnsi="楷体" w:eastAsia="仿宋_GB2312"/>
          <w:sz w:val="32"/>
          <w:szCs w:val="32"/>
        </w:rPr>
        <w:t>预算安排购置公务用车</w:t>
      </w:r>
      <w:r>
        <w:rPr>
          <w:rFonts w:hint="eastAsia" w:ascii="仿宋_GB2312" w:hAnsi="楷体" w:eastAsia="仿宋_GB2312"/>
          <w:sz w:val="32"/>
          <w:szCs w:val="32"/>
          <w:lang w:val="en-US" w:eastAsia="zh-CN"/>
        </w:rPr>
        <w:t>0</w:t>
      </w:r>
      <w:r>
        <w:rPr>
          <w:rFonts w:hint="eastAsia" w:ascii="仿宋_GB2312" w:hAnsi="楷体" w:eastAsia="仿宋_GB2312"/>
          <w:sz w:val="32"/>
          <w:szCs w:val="32"/>
        </w:rPr>
        <w:t>辆，购置费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r>
        <w:rPr>
          <w:rFonts w:hint="eastAsia" w:ascii="仿宋_GB2312" w:hAnsi="楷体" w:eastAsia="仿宋_GB2312"/>
          <w:sz w:val="32"/>
          <w:szCs w:val="32"/>
          <w:lang w:val="en-US" w:eastAsia="zh-CN"/>
        </w:rPr>
        <w:t>0</w:t>
      </w:r>
      <w:r>
        <w:rPr>
          <w:rFonts w:hint="eastAsia" w:ascii="仿宋_GB2312" w:hAnsi="楷体" w:eastAsia="仿宋_GB2312"/>
          <w:sz w:val="32"/>
          <w:szCs w:val="32"/>
        </w:rPr>
        <w:t>；安排购置单位价值50万元以上的通用设备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万元；安排购置单位价值100万元以上专用设备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2022</w:t>
      </w:r>
      <w:r>
        <w:rPr>
          <w:rFonts w:hint="eastAsia" w:ascii="仿宋_GB2312" w:hAnsi="仿宋" w:eastAsia="仿宋_GB2312"/>
          <w:sz w:val="32"/>
          <w:szCs w:val="32"/>
        </w:rPr>
        <w:t>年，</w:t>
      </w:r>
      <w:r>
        <w:rPr>
          <w:rFonts w:hint="eastAsia" w:ascii="仿宋_GB2312" w:hAnsi="仿宋" w:eastAsia="仿宋_GB2312" w:cs="宋体"/>
          <w:kern w:val="0"/>
          <w:sz w:val="32"/>
          <w:szCs w:val="32"/>
          <w:lang w:eastAsia="zh-CN"/>
        </w:rPr>
        <w:t>马鞍山师范高等专科学校</w:t>
      </w:r>
      <w:r>
        <w:rPr>
          <w:rFonts w:hint="eastAsia" w:ascii="仿宋_GB2312" w:hAnsi="仿宋" w:eastAsia="仿宋_GB2312"/>
          <w:sz w:val="32"/>
          <w:szCs w:val="32"/>
          <w:lang w:val="en-US" w:eastAsia="zh-CN"/>
        </w:rPr>
        <w:t>5</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4319.4</w:t>
      </w:r>
      <w:r>
        <w:rPr>
          <w:rFonts w:hint="eastAsia" w:ascii="仿宋_GB2312" w:hAnsi="仿宋" w:eastAsia="仿宋_GB2312"/>
          <w:sz w:val="32"/>
          <w:szCs w:val="32"/>
        </w:rPr>
        <w:t>万元、财政专户管理资金当年安排</w:t>
      </w:r>
      <w:r>
        <w:rPr>
          <w:rFonts w:hint="eastAsia" w:ascii="仿宋_GB2312" w:hAnsi="仿宋" w:eastAsia="仿宋_GB2312"/>
          <w:sz w:val="32"/>
          <w:szCs w:val="32"/>
          <w:lang w:val="en-US" w:eastAsia="zh-CN"/>
        </w:rPr>
        <w:t>664.9</w:t>
      </w:r>
      <w:r>
        <w:rPr>
          <w:rFonts w:hint="eastAsia" w:ascii="仿宋_GB2312" w:hAnsi="仿宋" w:eastAsia="仿宋_GB2312"/>
          <w:sz w:val="32"/>
          <w:szCs w:val="32"/>
        </w:rPr>
        <w:t>万元。</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pPr>
        <w:pStyle w:val="4"/>
        <w:adjustRightInd w:val="0"/>
        <w:snapToGrid w:val="0"/>
        <w:spacing w:line="600" w:lineRule="exact"/>
        <w:ind w:firstLine="627" w:firstLineChars="196"/>
        <w:rPr>
          <w:rFonts w:ascii="黑体" w:hAnsi="黑体" w:eastAsia="黑体"/>
          <w:sz w:val="32"/>
          <w:szCs w:val="32"/>
        </w:rPr>
      </w:pPr>
      <w:r>
        <w:rPr>
          <w:rFonts w:hint="eastAsia" w:ascii="黑体" w:hAnsi="仿宋" w:eastAsia="黑体" w:cstheme="minorBidi"/>
          <w:kern w:val="2"/>
          <w:sz w:val="32"/>
          <w:szCs w:val="32"/>
        </w:rPr>
        <w:t>二、事业收入：</w:t>
      </w:r>
      <w:r>
        <w:rPr>
          <w:rFonts w:hint="eastAsia" w:ascii="仿宋_GB2312" w:hAnsi="仿宋" w:eastAsia="仿宋_GB2312" w:cstheme="minorBidi"/>
          <w:kern w:val="2"/>
          <w:sz w:val="32"/>
          <w:szCs w:val="32"/>
        </w:rPr>
        <w:t>指事业单位开展专业业务活动及辅助活动所取得的收入。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4"/>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4"/>
        <w:spacing w:before="0" w:beforeAutospacing="0" w:after="0" w:afterAutospacing="0" w:line="600" w:lineRule="exact"/>
        <w:ind w:firstLine="627" w:firstLineChars="196"/>
        <w:jc w:val="both"/>
        <w:rPr>
          <w:rFonts w:hint="eastAsia" w:ascii="仿宋_GB2312" w:hAnsi="黑体" w:eastAsia="仿宋_GB2312"/>
          <w:sz w:val="32"/>
          <w:szCs w:val="32"/>
          <w:lang w:eastAsia="zh-CN"/>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p>
    <w:p>
      <w:pPr>
        <w:pStyle w:val="4"/>
        <w:spacing w:before="0" w:beforeAutospacing="0" w:after="0" w:afterAutospacing="0" w:line="600" w:lineRule="exact"/>
        <w:ind w:firstLine="320" w:firstLineChars="100"/>
        <w:jc w:val="both"/>
        <w:rPr>
          <w:rFonts w:ascii="仿宋_GB2312" w:hAnsi="黑体" w:eastAsia="仿宋_GB2312"/>
          <w:sz w:val="32"/>
          <w:szCs w:val="32"/>
        </w:rPr>
      </w:pPr>
      <w:r>
        <w:rPr>
          <w:rFonts w:hint="eastAsia" w:ascii="黑体" w:hAnsi="黑体" w:eastAsia="黑体"/>
          <w:sz w:val="32"/>
          <w:szCs w:val="32"/>
        </w:rPr>
        <w:t xml:space="preserve"> 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sdtPr>
    <w:sdtContent>
      <w:p>
        <w:pPr>
          <w:pStyle w:val="2"/>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A7155"/>
    <w:rsid w:val="000003C1"/>
    <w:rsid w:val="00015821"/>
    <w:rsid w:val="00016DCE"/>
    <w:rsid w:val="00026E99"/>
    <w:rsid w:val="0005090D"/>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458E8"/>
    <w:rsid w:val="0024741B"/>
    <w:rsid w:val="0025289A"/>
    <w:rsid w:val="00263B7E"/>
    <w:rsid w:val="002711F0"/>
    <w:rsid w:val="002725C5"/>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AEA"/>
    <w:rsid w:val="0069039D"/>
    <w:rsid w:val="00693859"/>
    <w:rsid w:val="00694264"/>
    <w:rsid w:val="006A032A"/>
    <w:rsid w:val="006B17A0"/>
    <w:rsid w:val="006B6125"/>
    <w:rsid w:val="006D39F7"/>
    <w:rsid w:val="006E3F7A"/>
    <w:rsid w:val="006F28D7"/>
    <w:rsid w:val="007221FD"/>
    <w:rsid w:val="00722B93"/>
    <w:rsid w:val="007318DE"/>
    <w:rsid w:val="0074251D"/>
    <w:rsid w:val="00752451"/>
    <w:rsid w:val="00752F7A"/>
    <w:rsid w:val="0075731C"/>
    <w:rsid w:val="0076294D"/>
    <w:rsid w:val="00772BCD"/>
    <w:rsid w:val="00796E8E"/>
    <w:rsid w:val="007A0175"/>
    <w:rsid w:val="007A0E2A"/>
    <w:rsid w:val="007B0E13"/>
    <w:rsid w:val="007D2C1D"/>
    <w:rsid w:val="007E28D7"/>
    <w:rsid w:val="007E36F8"/>
    <w:rsid w:val="00831988"/>
    <w:rsid w:val="00842138"/>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6B99"/>
    <w:rsid w:val="00B106E8"/>
    <w:rsid w:val="00B214F8"/>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41522"/>
    <w:rsid w:val="00D62F2F"/>
    <w:rsid w:val="00D675E1"/>
    <w:rsid w:val="00D75DE3"/>
    <w:rsid w:val="00D93A0A"/>
    <w:rsid w:val="00DA114A"/>
    <w:rsid w:val="00DA6329"/>
    <w:rsid w:val="00DA7155"/>
    <w:rsid w:val="00DD3619"/>
    <w:rsid w:val="00DD3DB1"/>
    <w:rsid w:val="00DE43E7"/>
    <w:rsid w:val="00DE4AFE"/>
    <w:rsid w:val="00DF08DE"/>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4D65"/>
    <w:rsid w:val="00FC0EE2"/>
    <w:rsid w:val="00FC4888"/>
    <w:rsid w:val="00FE398C"/>
    <w:rsid w:val="00FE475B"/>
    <w:rsid w:val="00FF6EF3"/>
    <w:rsid w:val="01596278"/>
    <w:rsid w:val="017B5688"/>
    <w:rsid w:val="01FF05B0"/>
    <w:rsid w:val="023B4C37"/>
    <w:rsid w:val="02C40969"/>
    <w:rsid w:val="031228B1"/>
    <w:rsid w:val="04847570"/>
    <w:rsid w:val="06A20FC1"/>
    <w:rsid w:val="06C50BB8"/>
    <w:rsid w:val="0A2037DA"/>
    <w:rsid w:val="0D9C7FD3"/>
    <w:rsid w:val="0E283076"/>
    <w:rsid w:val="106D0FD1"/>
    <w:rsid w:val="109202F8"/>
    <w:rsid w:val="126A0445"/>
    <w:rsid w:val="14377D86"/>
    <w:rsid w:val="16032ECF"/>
    <w:rsid w:val="166158D1"/>
    <w:rsid w:val="16A3587A"/>
    <w:rsid w:val="18C34DDE"/>
    <w:rsid w:val="190473EB"/>
    <w:rsid w:val="198736E1"/>
    <w:rsid w:val="1AD46292"/>
    <w:rsid w:val="1B037C36"/>
    <w:rsid w:val="1B713E9F"/>
    <w:rsid w:val="1C4F0C9B"/>
    <w:rsid w:val="21E85FCA"/>
    <w:rsid w:val="22E06CA1"/>
    <w:rsid w:val="2347066D"/>
    <w:rsid w:val="234863C1"/>
    <w:rsid w:val="2463402E"/>
    <w:rsid w:val="24A26144"/>
    <w:rsid w:val="27B626C7"/>
    <w:rsid w:val="29366156"/>
    <w:rsid w:val="2A703C9F"/>
    <w:rsid w:val="2BCF1FA9"/>
    <w:rsid w:val="2D1B54A6"/>
    <w:rsid w:val="2F0E4B96"/>
    <w:rsid w:val="323943E0"/>
    <w:rsid w:val="3420011D"/>
    <w:rsid w:val="345300F6"/>
    <w:rsid w:val="34E03158"/>
    <w:rsid w:val="35132F06"/>
    <w:rsid w:val="352F0DFC"/>
    <w:rsid w:val="370F7241"/>
    <w:rsid w:val="373C29F8"/>
    <w:rsid w:val="37757EA8"/>
    <w:rsid w:val="38704314"/>
    <w:rsid w:val="393A3157"/>
    <w:rsid w:val="3B7C3B77"/>
    <w:rsid w:val="3C4036DC"/>
    <w:rsid w:val="3CC14689"/>
    <w:rsid w:val="3CCB0BE1"/>
    <w:rsid w:val="3E4B7EE3"/>
    <w:rsid w:val="3FB337BE"/>
    <w:rsid w:val="411918A4"/>
    <w:rsid w:val="41953229"/>
    <w:rsid w:val="468F5FA7"/>
    <w:rsid w:val="48F32361"/>
    <w:rsid w:val="494A0E00"/>
    <w:rsid w:val="4CFF70C4"/>
    <w:rsid w:val="4F275AD4"/>
    <w:rsid w:val="4FA10F89"/>
    <w:rsid w:val="52E80BEB"/>
    <w:rsid w:val="54F41596"/>
    <w:rsid w:val="55302C55"/>
    <w:rsid w:val="597B7BEF"/>
    <w:rsid w:val="59A541C5"/>
    <w:rsid w:val="5D075BDA"/>
    <w:rsid w:val="5D9A56C3"/>
    <w:rsid w:val="5E6C2A09"/>
    <w:rsid w:val="5EA70098"/>
    <w:rsid w:val="6040772A"/>
    <w:rsid w:val="60D97EB0"/>
    <w:rsid w:val="62600C89"/>
    <w:rsid w:val="62B03384"/>
    <w:rsid w:val="643D0718"/>
    <w:rsid w:val="65F25193"/>
    <w:rsid w:val="6636171F"/>
    <w:rsid w:val="670009BB"/>
    <w:rsid w:val="67A9053E"/>
    <w:rsid w:val="69B9159D"/>
    <w:rsid w:val="6B056872"/>
    <w:rsid w:val="6C797180"/>
    <w:rsid w:val="6F1352D6"/>
    <w:rsid w:val="6F152CAB"/>
    <w:rsid w:val="6FB1521A"/>
    <w:rsid w:val="72882D68"/>
    <w:rsid w:val="72CC459A"/>
    <w:rsid w:val="73652C13"/>
    <w:rsid w:val="78620F7F"/>
    <w:rsid w:val="7A6D20AD"/>
    <w:rsid w:val="7E19249B"/>
    <w:rsid w:val="7EB4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4.emf"/><Relationship Id="rId31" Type="http://schemas.openxmlformats.org/officeDocument/2006/relationships/oleObject" Target="embeddings/oleObject14.bin"/><Relationship Id="rId30" Type="http://schemas.openxmlformats.org/officeDocument/2006/relationships/image" Target="media/image13.e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emf"/><Relationship Id="rId27" Type="http://schemas.openxmlformats.org/officeDocument/2006/relationships/oleObject" Target="embeddings/oleObject12.bin"/><Relationship Id="rId26" Type="http://schemas.openxmlformats.org/officeDocument/2006/relationships/image" Target="media/image11.emf"/><Relationship Id="rId25" Type="http://schemas.openxmlformats.org/officeDocument/2006/relationships/oleObject" Target="embeddings/oleObject11.bin"/><Relationship Id="rId24" Type="http://schemas.openxmlformats.org/officeDocument/2006/relationships/image" Target="media/image10.emf"/><Relationship Id="rId23" Type="http://schemas.openxmlformats.org/officeDocument/2006/relationships/oleObject" Target="embeddings/oleObject10.bin"/><Relationship Id="rId22" Type="http://schemas.openxmlformats.org/officeDocument/2006/relationships/image" Target="media/image9.emf"/><Relationship Id="rId21" Type="http://schemas.openxmlformats.org/officeDocument/2006/relationships/oleObject" Target="embeddings/oleObject9.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2439</Words>
  <Characters>13906</Characters>
  <Lines>115</Lines>
  <Paragraphs>32</Paragraphs>
  <TotalTime>1</TotalTime>
  <ScaleCrop>false</ScaleCrop>
  <LinksUpToDate>false</LinksUpToDate>
  <CharactersWithSpaces>16313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Administrator</cp:lastModifiedBy>
  <cp:lastPrinted>2021-02-07T07:09:00Z</cp:lastPrinted>
  <dcterms:modified xsi:type="dcterms:W3CDTF">2022-02-22T07:15:24Z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7A83B8FB721D47CBBFA376531D257072</vt:lpwstr>
  </property>
</Properties>
</file>